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717956">
      <w:pPr>
        <w:pStyle w:val="10"/>
        <w:rPr>
          <w:rFonts w:asciiTheme="minorEastAsia" w:hAnsiTheme="minorEastAsia" w:eastAsiaTheme="minorEastAsia"/>
          <w:color w:val="auto"/>
          <w:highlight w:val="none"/>
        </w:rPr>
      </w:pPr>
      <w:bookmarkStart w:id="0" w:name="_Toc118083894"/>
      <w:bookmarkStart w:id="1" w:name="_Toc134955399"/>
      <w:bookmarkStart w:id="2" w:name="_Toc134956113"/>
      <w:bookmarkStart w:id="3" w:name="_Toc175644811"/>
      <w:bookmarkStart w:id="4" w:name="_Toc134956025"/>
      <w:bookmarkStart w:id="5" w:name="_Toc98578990"/>
      <w:bookmarkStart w:id="6" w:name="_Toc98579048"/>
      <w:bookmarkStart w:id="7" w:name="_Toc127930770"/>
      <w:bookmarkStart w:id="8" w:name="_Toc98580272"/>
      <w:bookmarkStart w:id="9" w:name="_Toc98579589"/>
      <w:bookmarkStart w:id="10" w:name="_Toc175644436"/>
      <w:bookmarkStart w:id="11" w:name="_Toc175644383"/>
      <w:r>
        <w:rPr>
          <w:rFonts w:hint="eastAsia" w:asciiTheme="minorEastAsia" w:hAnsiTheme="minorEastAsia" w:eastAsiaTheme="minorEastAsia"/>
          <w:color w:val="auto"/>
          <w:highlight w:val="none"/>
        </w:rPr>
        <w:t xml:space="preserve">  </w:t>
      </w:r>
    </w:p>
    <w:p w14:paraId="45594ED4">
      <w:pPr>
        <w:rPr>
          <w:rFonts w:asciiTheme="minorEastAsia" w:hAnsiTheme="minorEastAsia" w:eastAsiaTheme="minorEastAsia"/>
          <w:color w:val="auto"/>
          <w:sz w:val="24"/>
          <w:highlight w:val="none"/>
        </w:rPr>
      </w:pPr>
    </w:p>
    <w:p w14:paraId="4F87FC22">
      <w:pPr>
        <w:jc w:val="center"/>
        <w:rPr>
          <w:rFonts w:hint="eastAsia" w:asciiTheme="minorEastAsia" w:hAnsiTheme="minorEastAsia" w:eastAsiaTheme="minorEastAsia"/>
          <w:b/>
          <w:color w:val="auto"/>
          <w:sz w:val="44"/>
          <w:szCs w:val="44"/>
          <w:highlight w:val="none"/>
          <w:lang w:eastAsia="zh-CN"/>
        </w:rPr>
      </w:pPr>
      <w:r>
        <w:rPr>
          <w:rFonts w:hint="eastAsia" w:asciiTheme="minorEastAsia" w:hAnsiTheme="minorEastAsia" w:eastAsiaTheme="minorEastAsia"/>
          <w:b/>
          <w:color w:val="auto"/>
          <w:sz w:val="44"/>
          <w:szCs w:val="44"/>
          <w:highlight w:val="none"/>
          <w:lang w:eastAsia="zh-CN"/>
        </w:rPr>
        <w:t>广州市农科院鲜蔬火锅餐厅VI品牌策划设计全案整装招标</w:t>
      </w:r>
    </w:p>
    <w:p w14:paraId="08D3D019">
      <w:pPr>
        <w:jc w:val="center"/>
        <w:rPr>
          <w:rFonts w:asciiTheme="minorEastAsia" w:hAnsiTheme="minorEastAsia" w:eastAsiaTheme="minorEastAsia"/>
          <w:b/>
          <w:color w:val="auto"/>
          <w:sz w:val="52"/>
          <w:szCs w:val="52"/>
          <w:highlight w:val="none"/>
        </w:rPr>
      </w:pPr>
    </w:p>
    <w:p w14:paraId="66425820">
      <w:pPr>
        <w:pStyle w:val="23"/>
        <w:rPr>
          <w:color w:val="auto"/>
          <w:highlight w:val="none"/>
        </w:rPr>
      </w:pPr>
    </w:p>
    <w:p w14:paraId="2748089F">
      <w:pPr>
        <w:jc w:val="center"/>
        <w:rPr>
          <w:rFonts w:asciiTheme="minorEastAsia" w:hAnsiTheme="minorEastAsia" w:eastAsiaTheme="minorEastAsia"/>
          <w:b/>
          <w:color w:val="auto"/>
          <w:sz w:val="52"/>
          <w:szCs w:val="52"/>
          <w:highlight w:val="none"/>
        </w:rPr>
      </w:pPr>
      <w:r>
        <w:rPr>
          <w:rFonts w:hint="eastAsia" w:asciiTheme="minorEastAsia" w:hAnsiTheme="minorEastAsia" w:eastAsiaTheme="minorEastAsia"/>
          <w:b/>
          <w:color w:val="auto"/>
          <w:sz w:val="52"/>
          <w:szCs w:val="52"/>
          <w:highlight w:val="none"/>
        </w:rPr>
        <w:t>采购文件</w:t>
      </w:r>
    </w:p>
    <w:p w14:paraId="189EDD8D">
      <w:pPr>
        <w:rPr>
          <w:rFonts w:asciiTheme="minorEastAsia" w:hAnsiTheme="minorEastAsia" w:eastAsiaTheme="minorEastAsia"/>
          <w:color w:val="auto"/>
          <w:highlight w:val="none"/>
        </w:rPr>
      </w:pPr>
    </w:p>
    <w:p w14:paraId="56B19A53">
      <w:pPr>
        <w:rPr>
          <w:rFonts w:asciiTheme="minorEastAsia" w:hAnsiTheme="minorEastAsia" w:eastAsiaTheme="minorEastAsia"/>
          <w:color w:val="auto"/>
          <w:highlight w:val="none"/>
        </w:rPr>
      </w:pPr>
    </w:p>
    <w:p w14:paraId="40ABF0E8">
      <w:pPr>
        <w:rPr>
          <w:rFonts w:asciiTheme="minorEastAsia" w:hAnsiTheme="minorEastAsia" w:eastAsiaTheme="minorEastAsia"/>
          <w:color w:val="auto"/>
          <w:highlight w:val="none"/>
        </w:rPr>
      </w:pPr>
    </w:p>
    <w:p w14:paraId="6F86FFE0">
      <w:pPr>
        <w:ind w:firstLine="1049" w:firstLineChars="328"/>
        <w:rPr>
          <w:rFonts w:asciiTheme="minorEastAsia" w:hAnsiTheme="minorEastAsia" w:eastAsiaTheme="minorEastAsia"/>
          <w:color w:val="auto"/>
          <w:sz w:val="32"/>
          <w:szCs w:val="32"/>
          <w:highlight w:val="none"/>
        </w:rPr>
      </w:pPr>
    </w:p>
    <w:p w14:paraId="2FECE2B5">
      <w:pPr>
        <w:ind w:firstLine="1049" w:firstLineChars="328"/>
        <w:rPr>
          <w:rFonts w:asciiTheme="minorEastAsia" w:hAnsiTheme="minorEastAsia" w:eastAsiaTheme="minorEastAsia"/>
          <w:color w:val="auto"/>
          <w:sz w:val="32"/>
          <w:szCs w:val="32"/>
          <w:highlight w:val="none"/>
        </w:rPr>
      </w:pPr>
    </w:p>
    <w:p w14:paraId="4AED8143">
      <w:pPr>
        <w:ind w:firstLine="1049" w:firstLineChars="328"/>
        <w:rPr>
          <w:rFonts w:asciiTheme="minorEastAsia" w:hAnsiTheme="minorEastAsia" w:eastAsiaTheme="minorEastAsia"/>
          <w:color w:val="auto"/>
          <w:sz w:val="32"/>
          <w:szCs w:val="32"/>
          <w:highlight w:val="none"/>
        </w:rPr>
      </w:pPr>
    </w:p>
    <w:p w14:paraId="51DC48AF">
      <w:pPr>
        <w:ind w:firstLine="1049" w:firstLineChars="328"/>
        <w:rPr>
          <w:rFonts w:asciiTheme="minorEastAsia" w:hAnsiTheme="minorEastAsia" w:eastAsiaTheme="minorEastAsia"/>
          <w:color w:val="auto"/>
          <w:sz w:val="32"/>
          <w:szCs w:val="32"/>
          <w:highlight w:val="none"/>
        </w:rPr>
      </w:pPr>
    </w:p>
    <w:p w14:paraId="68A2332C">
      <w:pPr>
        <w:ind w:firstLine="1049" w:firstLineChars="328"/>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项目类别：</w:t>
      </w:r>
      <w:r>
        <w:rPr>
          <w:rFonts w:hint="eastAsia" w:asciiTheme="minorEastAsia" w:hAnsiTheme="minorEastAsia" w:eastAsiaTheme="minorEastAsia"/>
          <w:color w:val="auto"/>
          <w:sz w:val="32"/>
          <w:szCs w:val="32"/>
          <w:highlight w:val="none"/>
          <w:lang w:val="en-US" w:eastAsia="zh-CN"/>
        </w:rPr>
        <w:t>工程</w:t>
      </w:r>
      <w:r>
        <w:rPr>
          <w:rFonts w:hint="eastAsia" w:asciiTheme="minorEastAsia" w:hAnsiTheme="minorEastAsia" w:eastAsiaTheme="minorEastAsia"/>
          <w:color w:val="auto"/>
          <w:sz w:val="32"/>
          <w:szCs w:val="32"/>
          <w:highlight w:val="none"/>
        </w:rPr>
        <w:t>类</w:t>
      </w:r>
    </w:p>
    <w:p w14:paraId="04F533FB">
      <w:pPr>
        <w:ind w:firstLine="1049" w:firstLineChars="328"/>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招标方式：公开招标</w:t>
      </w:r>
    </w:p>
    <w:p w14:paraId="4633A70A">
      <w:pPr>
        <w:ind w:firstLine="1049" w:firstLineChars="328"/>
        <w:rPr>
          <w:rFonts w:hint="eastAsia" w:asciiTheme="minorEastAsia" w:hAnsiTheme="minorEastAsia" w:eastAsiaTheme="minorEastAsia"/>
          <w:color w:val="auto"/>
          <w:sz w:val="32"/>
          <w:szCs w:val="32"/>
          <w:highlight w:val="none"/>
          <w:lang w:eastAsia="zh-CN"/>
        </w:rPr>
      </w:pPr>
      <w:r>
        <w:rPr>
          <w:rFonts w:hint="eastAsia" w:asciiTheme="minorEastAsia" w:hAnsiTheme="minorEastAsia" w:eastAsiaTheme="minorEastAsia"/>
          <w:color w:val="auto"/>
          <w:sz w:val="32"/>
          <w:szCs w:val="32"/>
          <w:highlight w:val="none"/>
        </w:rPr>
        <w:t>项目编号：</w:t>
      </w:r>
      <w:r>
        <w:rPr>
          <w:rFonts w:hint="eastAsia" w:asciiTheme="minorEastAsia" w:hAnsiTheme="minorEastAsia" w:eastAsiaTheme="minorEastAsia"/>
          <w:color w:val="auto"/>
          <w:sz w:val="32"/>
          <w:szCs w:val="32"/>
          <w:highlight w:val="none"/>
          <w:lang w:eastAsia="zh-CN"/>
        </w:rPr>
        <w:t>ZYNK20250501</w:t>
      </w:r>
    </w:p>
    <w:p w14:paraId="7A0AB871">
      <w:pPr>
        <w:ind w:firstLine="1049" w:firstLineChars="328"/>
        <w:rPr>
          <w:rFonts w:hint="eastAsia" w:asciiTheme="minorEastAsia" w:hAnsiTheme="minorEastAsia" w:eastAsiaTheme="minorEastAsia"/>
          <w:color w:val="auto"/>
          <w:sz w:val="32"/>
          <w:szCs w:val="32"/>
          <w:highlight w:val="none"/>
          <w:lang w:eastAsia="zh-CN"/>
        </w:rPr>
      </w:pPr>
      <w:r>
        <w:rPr>
          <w:rFonts w:hint="eastAsia" w:asciiTheme="minorEastAsia" w:hAnsiTheme="minorEastAsia" w:eastAsiaTheme="minorEastAsia"/>
          <w:color w:val="auto"/>
          <w:sz w:val="32"/>
          <w:szCs w:val="32"/>
          <w:highlight w:val="none"/>
        </w:rPr>
        <w:t>采购人：</w:t>
      </w:r>
      <w:r>
        <w:rPr>
          <w:rFonts w:hint="eastAsia" w:asciiTheme="minorEastAsia" w:hAnsiTheme="minorEastAsia" w:eastAsiaTheme="minorEastAsia"/>
          <w:bCs/>
          <w:color w:val="auto"/>
          <w:sz w:val="32"/>
          <w:szCs w:val="32"/>
          <w:highlight w:val="none"/>
          <w:lang w:eastAsia="zh-CN"/>
        </w:rPr>
        <w:t>广州市农科所科技发展有限公司</w:t>
      </w:r>
    </w:p>
    <w:p w14:paraId="461EF482">
      <w:pPr>
        <w:ind w:firstLine="1049" w:firstLineChars="328"/>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招标代理机构：</w:t>
      </w:r>
      <w:r>
        <w:rPr>
          <w:rFonts w:hint="eastAsia" w:asciiTheme="minorEastAsia" w:hAnsiTheme="minorEastAsia" w:eastAsiaTheme="minorEastAsia"/>
          <w:color w:val="auto"/>
          <w:sz w:val="32"/>
          <w:szCs w:val="32"/>
          <w:highlight w:val="none"/>
          <w:lang w:eastAsia="zh-CN"/>
        </w:rPr>
        <w:t>广州众源建设管理有限公司</w:t>
      </w:r>
    </w:p>
    <w:p w14:paraId="2F82087B">
      <w:pPr>
        <w:ind w:firstLine="1049" w:firstLineChars="328"/>
        <w:jc w:val="center"/>
        <w:rPr>
          <w:rFonts w:asciiTheme="minorEastAsia" w:hAnsiTheme="minorEastAsia" w:eastAsiaTheme="minorEastAsia"/>
          <w:color w:val="auto"/>
          <w:sz w:val="32"/>
          <w:szCs w:val="32"/>
          <w:highlight w:val="none"/>
        </w:rPr>
      </w:pPr>
    </w:p>
    <w:p w14:paraId="4F9DC247">
      <w:pPr>
        <w:ind w:firstLine="1049" w:firstLineChars="328"/>
        <w:jc w:val="center"/>
        <w:rPr>
          <w:rFonts w:asciiTheme="minorEastAsia" w:hAnsiTheme="minorEastAsia" w:eastAsiaTheme="minorEastAsia"/>
          <w:color w:val="auto"/>
          <w:sz w:val="32"/>
          <w:szCs w:val="32"/>
          <w:highlight w:val="none"/>
        </w:rPr>
      </w:pPr>
    </w:p>
    <w:p w14:paraId="7402CE42">
      <w:pPr>
        <w:jc w:val="center"/>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二</w:t>
      </w:r>
      <w:r>
        <w:rPr>
          <w:rFonts w:hint="eastAsia" w:cs="微软雅黑" w:asciiTheme="minorEastAsia" w:hAnsiTheme="minorEastAsia" w:eastAsiaTheme="minorEastAsia"/>
          <w:color w:val="auto"/>
          <w:sz w:val="32"/>
          <w:szCs w:val="32"/>
          <w:highlight w:val="none"/>
        </w:rPr>
        <w:t>〇</w:t>
      </w:r>
      <w:r>
        <w:rPr>
          <w:rFonts w:hint="eastAsia" w:cs="仿宋_GB2312" w:asciiTheme="minorEastAsia" w:hAnsiTheme="minorEastAsia" w:eastAsiaTheme="minorEastAsia"/>
          <w:color w:val="auto"/>
          <w:sz w:val="32"/>
          <w:szCs w:val="32"/>
          <w:highlight w:val="none"/>
        </w:rPr>
        <w:t>二</w:t>
      </w:r>
      <w:r>
        <w:rPr>
          <w:rFonts w:hint="eastAsia" w:cs="仿宋_GB2312" w:asciiTheme="minorEastAsia" w:hAnsiTheme="minorEastAsia" w:eastAsiaTheme="minorEastAsia"/>
          <w:color w:val="auto"/>
          <w:sz w:val="32"/>
          <w:szCs w:val="32"/>
          <w:highlight w:val="none"/>
          <w:lang w:val="en-US" w:eastAsia="zh-CN"/>
        </w:rPr>
        <w:t>五</w:t>
      </w:r>
      <w:r>
        <w:rPr>
          <w:rFonts w:hint="eastAsia" w:asciiTheme="minorEastAsia" w:hAnsiTheme="minorEastAsia" w:eastAsiaTheme="minorEastAsia"/>
          <w:color w:val="auto"/>
          <w:sz w:val="32"/>
          <w:szCs w:val="32"/>
          <w:highlight w:val="none"/>
        </w:rPr>
        <w:t>年</w:t>
      </w:r>
      <w:r>
        <w:rPr>
          <w:rFonts w:hint="eastAsia" w:asciiTheme="minorEastAsia" w:hAnsiTheme="minorEastAsia" w:eastAsiaTheme="minorEastAsia"/>
          <w:color w:val="auto"/>
          <w:sz w:val="32"/>
          <w:szCs w:val="32"/>
          <w:highlight w:val="none"/>
          <w:lang w:val="en-US" w:eastAsia="zh-CN"/>
        </w:rPr>
        <w:t>六</w:t>
      </w:r>
      <w:r>
        <w:rPr>
          <w:rFonts w:hint="eastAsia" w:asciiTheme="minorEastAsia" w:hAnsiTheme="minorEastAsia" w:eastAsiaTheme="minorEastAsia"/>
          <w:color w:val="auto"/>
          <w:sz w:val="32"/>
          <w:szCs w:val="32"/>
          <w:highlight w:val="none"/>
        </w:rPr>
        <w:t>月</w:t>
      </w:r>
    </w:p>
    <w:p w14:paraId="1B72D407">
      <w:pPr>
        <w:rPr>
          <w:rFonts w:asciiTheme="minorEastAsia" w:hAnsiTheme="minorEastAsia" w:eastAsiaTheme="minorEastAsia"/>
          <w:color w:val="auto"/>
          <w:sz w:val="32"/>
          <w:szCs w:val="32"/>
          <w:highlight w:val="none"/>
        </w:rPr>
        <w:sectPr>
          <w:headerReference r:id="rId4" w:type="first"/>
          <w:footerReference r:id="rId6" w:type="first"/>
          <w:headerReference r:id="rId3" w:type="default"/>
          <w:footerReference r:id="rId5" w:type="default"/>
          <w:pgSz w:w="11906" w:h="16838"/>
          <w:pgMar w:top="1418" w:right="1247" w:bottom="1418" w:left="1247" w:header="851" w:footer="992" w:gutter="0"/>
          <w:pgNumType w:start="1"/>
          <w:cols w:space="720" w:num="1"/>
          <w:titlePg/>
          <w:docGrid w:type="lines" w:linePitch="312" w:charSpace="0"/>
        </w:sectPr>
      </w:pPr>
      <w:r>
        <w:rPr>
          <w:rFonts w:asciiTheme="minorEastAsia" w:hAnsiTheme="minorEastAsia" w:eastAsiaTheme="minorEastAsia"/>
          <w:color w:val="auto"/>
          <w:sz w:val="32"/>
          <w:szCs w:val="32"/>
          <w:highlight w:val="none"/>
        </w:rPr>
        <w:br w:type="page"/>
      </w:r>
    </w:p>
    <w:p w14:paraId="0CF34597">
      <w:pPr>
        <w:tabs>
          <w:tab w:val="center" w:pos="4706"/>
          <w:tab w:val="left" w:pos="7200"/>
        </w:tabs>
        <w:spacing w:line="300" w:lineRule="auto"/>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ab/>
      </w:r>
      <w:r>
        <w:rPr>
          <w:rFonts w:hint="eastAsia" w:asciiTheme="minorEastAsia" w:hAnsiTheme="minorEastAsia" w:eastAsiaTheme="minorEastAsia"/>
          <w:b/>
          <w:color w:val="auto"/>
          <w:sz w:val="32"/>
          <w:szCs w:val="32"/>
          <w:highlight w:val="none"/>
        </w:rPr>
        <w:t>目  录</w:t>
      </w:r>
      <w:bookmarkEnd w:id="0"/>
      <w:bookmarkEnd w:id="1"/>
      <w:bookmarkEnd w:id="2"/>
      <w:bookmarkEnd w:id="3"/>
      <w:bookmarkEnd w:id="4"/>
      <w:r>
        <w:rPr>
          <w:rFonts w:hint="eastAsia" w:asciiTheme="minorEastAsia" w:hAnsiTheme="minorEastAsia" w:eastAsiaTheme="minorEastAsia"/>
          <w:b/>
          <w:color w:val="auto"/>
          <w:sz w:val="32"/>
          <w:szCs w:val="32"/>
          <w:highlight w:val="none"/>
        </w:rPr>
        <w:tab/>
      </w:r>
    </w:p>
    <w:bookmarkEnd w:id="5"/>
    <w:bookmarkEnd w:id="6"/>
    <w:bookmarkEnd w:id="7"/>
    <w:bookmarkEnd w:id="8"/>
    <w:bookmarkEnd w:id="9"/>
    <w:p w14:paraId="114F4961">
      <w:pPr>
        <w:pStyle w:val="29"/>
        <w:tabs>
          <w:tab w:val="right" w:leader="dot" w:pos="9684"/>
        </w:tabs>
        <w:rPr>
          <w:color w:val="auto"/>
          <w:sz w:val="24"/>
          <w:szCs w:val="24"/>
          <w:highlight w:val="none"/>
        </w:rPr>
      </w:pPr>
      <w:bookmarkStart w:id="12" w:name="_Toc175644384"/>
      <w:r>
        <w:rPr>
          <w:rFonts w:hint="eastAsia" w:hAnsi="宋体" w:cs="宋体"/>
          <w:color w:val="auto"/>
          <w:sz w:val="24"/>
          <w:szCs w:val="24"/>
          <w:highlight w:val="none"/>
        </w:rPr>
        <w:fldChar w:fldCharType="begin"/>
      </w:r>
      <w:r>
        <w:rPr>
          <w:rFonts w:hint="eastAsia" w:hAnsi="宋体" w:cs="宋体"/>
          <w:color w:val="auto"/>
          <w:sz w:val="24"/>
          <w:szCs w:val="24"/>
          <w:highlight w:val="none"/>
        </w:rPr>
        <w:instrText xml:space="preserve">TOC \o "1-2" \h \u </w:instrText>
      </w:r>
      <w:r>
        <w:rPr>
          <w:rFonts w:hint="eastAsia" w:hAnsi="宋体" w:cs="宋体"/>
          <w:color w:val="auto"/>
          <w:sz w:val="24"/>
          <w:szCs w:val="24"/>
          <w:highlight w:val="none"/>
        </w:rPr>
        <w:fldChar w:fldCharType="separate"/>
      </w:r>
      <w:r>
        <w:rPr>
          <w:color w:val="auto"/>
          <w:highlight w:val="none"/>
        </w:rPr>
        <w:fldChar w:fldCharType="begin"/>
      </w:r>
      <w:r>
        <w:rPr>
          <w:color w:val="auto"/>
          <w:highlight w:val="none"/>
        </w:rPr>
        <w:instrText xml:space="preserve"> HYPERLINK \l "_Toc13037" </w:instrText>
      </w:r>
      <w:r>
        <w:rPr>
          <w:color w:val="auto"/>
          <w:highlight w:val="none"/>
        </w:rPr>
        <w:fldChar w:fldCharType="separate"/>
      </w:r>
      <w:r>
        <w:rPr>
          <w:rFonts w:hint="eastAsia" w:asciiTheme="minorEastAsia" w:hAnsiTheme="minorEastAsia" w:eastAsiaTheme="minorEastAsia"/>
          <w:color w:val="auto"/>
          <w:sz w:val="24"/>
          <w:szCs w:val="24"/>
          <w:highlight w:val="none"/>
        </w:rPr>
        <w:t>招标公告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_Toc13037 \h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color w:val="auto"/>
          <w:sz w:val="24"/>
          <w:szCs w:val="24"/>
          <w:highlight w:val="none"/>
        </w:rPr>
        <w:fldChar w:fldCharType="end"/>
      </w:r>
    </w:p>
    <w:p w14:paraId="362C0518">
      <w:pPr>
        <w:pStyle w:val="29"/>
        <w:tabs>
          <w:tab w:val="right" w:leader="dot" w:pos="9684"/>
        </w:tabs>
        <w:rPr>
          <w:color w:val="auto"/>
          <w:sz w:val="24"/>
          <w:szCs w:val="24"/>
          <w:highlight w:val="none"/>
        </w:rPr>
      </w:pPr>
      <w:r>
        <w:rPr>
          <w:color w:val="auto"/>
          <w:highlight w:val="none"/>
        </w:rPr>
        <w:fldChar w:fldCharType="begin"/>
      </w:r>
      <w:r>
        <w:rPr>
          <w:color w:val="auto"/>
          <w:highlight w:val="none"/>
        </w:rPr>
        <w:instrText xml:space="preserve"> HYPERLINK \l "_Toc17734" </w:instrText>
      </w:r>
      <w:r>
        <w:rPr>
          <w:color w:val="auto"/>
          <w:highlight w:val="none"/>
        </w:rPr>
        <w:fldChar w:fldCharType="separate"/>
      </w:r>
      <w:r>
        <w:rPr>
          <w:rFonts w:hint="eastAsia" w:asciiTheme="minorEastAsia" w:hAnsiTheme="minorEastAsia" w:eastAsiaTheme="minorEastAsia"/>
          <w:color w:val="auto"/>
          <w:sz w:val="24"/>
          <w:szCs w:val="24"/>
          <w:highlight w:val="none"/>
        </w:rPr>
        <w:t>第一章 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_Toc17734 \h </w:instrText>
      </w:r>
      <w:r>
        <w:rPr>
          <w:color w:val="auto"/>
          <w:sz w:val="24"/>
          <w:szCs w:val="24"/>
          <w:highlight w:val="none"/>
        </w:rPr>
        <w:fldChar w:fldCharType="separate"/>
      </w:r>
      <w:r>
        <w:rPr>
          <w:color w:val="auto"/>
          <w:sz w:val="24"/>
          <w:szCs w:val="24"/>
          <w:highlight w:val="none"/>
        </w:rPr>
        <w:t>6</w:t>
      </w:r>
      <w:r>
        <w:rPr>
          <w:color w:val="auto"/>
          <w:sz w:val="24"/>
          <w:szCs w:val="24"/>
          <w:highlight w:val="none"/>
        </w:rPr>
        <w:fldChar w:fldCharType="end"/>
      </w:r>
      <w:r>
        <w:rPr>
          <w:color w:val="auto"/>
          <w:sz w:val="24"/>
          <w:szCs w:val="24"/>
          <w:highlight w:val="none"/>
        </w:rPr>
        <w:fldChar w:fldCharType="end"/>
      </w:r>
    </w:p>
    <w:p w14:paraId="7382A841">
      <w:pPr>
        <w:pStyle w:val="29"/>
        <w:tabs>
          <w:tab w:val="right" w:leader="dot" w:pos="9684"/>
        </w:tabs>
        <w:rPr>
          <w:color w:val="auto"/>
          <w:sz w:val="24"/>
          <w:szCs w:val="24"/>
          <w:highlight w:val="none"/>
        </w:rPr>
      </w:pPr>
      <w:r>
        <w:rPr>
          <w:color w:val="auto"/>
          <w:highlight w:val="none"/>
        </w:rPr>
        <w:fldChar w:fldCharType="begin"/>
      </w:r>
      <w:r>
        <w:rPr>
          <w:color w:val="auto"/>
          <w:highlight w:val="none"/>
        </w:rPr>
        <w:instrText xml:space="preserve"> HYPERLINK \l "_Toc30606" </w:instrText>
      </w:r>
      <w:r>
        <w:rPr>
          <w:color w:val="auto"/>
          <w:highlight w:val="none"/>
        </w:rPr>
        <w:fldChar w:fldCharType="separate"/>
      </w:r>
      <w:r>
        <w:rPr>
          <w:rFonts w:hint="eastAsia" w:asciiTheme="minorEastAsia" w:hAnsiTheme="minorEastAsia" w:eastAsiaTheme="minorEastAsia"/>
          <w:color w:val="auto"/>
          <w:sz w:val="24"/>
          <w:szCs w:val="24"/>
          <w:highlight w:val="none"/>
        </w:rPr>
        <w:t>第二章</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lang w:eastAsia="zh-CN"/>
        </w:rPr>
        <w:t>招标人需求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_Toc30606 \h </w:instrText>
      </w:r>
      <w:r>
        <w:rPr>
          <w:color w:val="auto"/>
          <w:sz w:val="24"/>
          <w:szCs w:val="24"/>
          <w:highlight w:val="none"/>
        </w:rPr>
        <w:fldChar w:fldCharType="separate"/>
      </w:r>
      <w:r>
        <w:rPr>
          <w:color w:val="auto"/>
          <w:sz w:val="24"/>
          <w:szCs w:val="24"/>
          <w:highlight w:val="none"/>
        </w:rPr>
        <w:t>15</w:t>
      </w:r>
      <w:r>
        <w:rPr>
          <w:color w:val="auto"/>
          <w:sz w:val="24"/>
          <w:szCs w:val="24"/>
          <w:highlight w:val="none"/>
        </w:rPr>
        <w:fldChar w:fldCharType="end"/>
      </w:r>
      <w:r>
        <w:rPr>
          <w:color w:val="auto"/>
          <w:sz w:val="24"/>
          <w:szCs w:val="24"/>
          <w:highlight w:val="none"/>
        </w:rPr>
        <w:fldChar w:fldCharType="end"/>
      </w:r>
    </w:p>
    <w:p w14:paraId="218745D9">
      <w:pPr>
        <w:pStyle w:val="29"/>
        <w:tabs>
          <w:tab w:val="right" w:leader="dot" w:pos="9684"/>
        </w:tabs>
        <w:rPr>
          <w:color w:val="auto"/>
          <w:sz w:val="24"/>
          <w:szCs w:val="24"/>
          <w:highlight w:val="none"/>
        </w:rPr>
      </w:pPr>
      <w:r>
        <w:rPr>
          <w:color w:val="auto"/>
          <w:highlight w:val="none"/>
        </w:rPr>
        <w:fldChar w:fldCharType="begin"/>
      </w:r>
      <w:r>
        <w:rPr>
          <w:color w:val="auto"/>
          <w:highlight w:val="none"/>
        </w:rPr>
        <w:instrText xml:space="preserve"> HYPERLINK \l "_Toc25186" </w:instrText>
      </w:r>
      <w:r>
        <w:rPr>
          <w:color w:val="auto"/>
          <w:highlight w:val="none"/>
        </w:rPr>
        <w:fldChar w:fldCharType="separate"/>
      </w:r>
      <w:r>
        <w:rPr>
          <w:rFonts w:hint="eastAsia" w:cs="方正小标宋_GBK" w:asciiTheme="minorEastAsia" w:hAnsiTheme="minorEastAsia" w:eastAsiaTheme="minorEastAsia"/>
          <w:color w:val="auto"/>
          <w:sz w:val="24"/>
          <w:szCs w:val="24"/>
          <w:highlight w:val="none"/>
        </w:rPr>
        <w:t>第三章 合同格式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_Toc25186 \h </w:instrText>
      </w:r>
      <w:r>
        <w:rPr>
          <w:color w:val="auto"/>
          <w:sz w:val="24"/>
          <w:szCs w:val="24"/>
          <w:highlight w:val="none"/>
        </w:rPr>
        <w:fldChar w:fldCharType="separate"/>
      </w:r>
      <w:r>
        <w:rPr>
          <w:color w:val="auto"/>
          <w:sz w:val="24"/>
          <w:szCs w:val="24"/>
          <w:highlight w:val="none"/>
        </w:rPr>
        <w:t>20</w:t>
      </w:r>
      <w:r>
        <w:rPr>
          <w:color w:val="auto"/>
          <w:sz w:val="24"/>
          <w:szCs w:val="24"/>
          <w:highlight w:val="none"/>
        </w:rPr>
        <w:fldChar w:fldCharType="end"/>
      </w:r>
      <w:r>
        <w:rPr>
          <w:color w:val="auto"/>
          <w:sz w:val="24"/>
          <w:szCs w:val="24"/>
          <w:highlight w:val="none"/>
        </w:rPr>
        <w:fldChar w:fldCharType="end"/>
      </w:r>
    </w:p>
    <w:p w14:paraId="350B63D7">
      <w:pPr>
        <w:pStyle w:val="29"/>
        <w:tabs>
          <w:tab w:val="right" w:leader="dot" w:pos="9684"/>
        </w:tabs>
        <w:rPr>
          <w:color w:val="auto"/>
          <w:sz w:val="24"/>
          <w:szCs w:val="24"/>
          <w:highlight w:val="none"/>
        </w:rPr>
      </w:pPr>
      <w:r>
        <w:rPr>
          <w:color w:val="auto"/>
          <w:highlight w:val="none"/>
        </w:rPr>
        <w:fldChar w:fldCharType="begin"/>
      </w:r>
      <w:r>
        <w:rPr>
          <w:color w:val="auto"/>
          <w:highlight w:val="none"/>
        </w:rPr>
        <w:instrText xml:space="preserve"> HYPERLINK \l "_Toc6175" </w:instrText>
      </w:r>
      <w:r>
        <w:rPr>
          <w:color w:val="auto"/>
          <w:highlight w:val="none"/>
        </w:rPr>
        <w:fldChar w:fldCharType="separate"/>
      </w:r>
      <w:r>
        <w:rPr>
          <w:rFonts w:hint="eastAsia" w:asciiTheme="minorEastAsia" w:hAnsiTheme="minorEastAsia" w:eastAsiaTheme="minorEastAsia"/>
          <w:color w:val="auto"/>
          <w:sz w:val="24"/>
          <w:szCs w:val="24"/>
          <w:highlight w:val="none"/>
        </w:rPr>
        <w:t>第四章 开标、评标和定标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_Toc6175 \h </w:instrText>
      </w:r>
      <w:r>
        <w:rPr>
          <w:color w:val="auto"/>
          <w:sz w:val="24"/>
          <w:szCs w:val="24"/>
          <w:highlight w:val="none"/>
        </w:rPr>
        <w:fldChar w:fldCharType="separate"/>
      </w:r>
      <w:r>
        <w:rPr>
          <w:color w:val="auto"/>
          <w:sz w:val="24"/>
          <w:szCs w:val="24"/>
          <w:highlight w:val="none"/>
        </w:rPr>
        <w:t>24</w:t>
      </w:r>
      <w:r>
        <w:rPr>
          <w:color w:val="auto"/>
          <w:sz w:val="24"/>
          <w:szCs w:val="24"/>
          <w:highlight w:val="none"/>
        </w:rPr>
        <w:fldChar w:fldCharType="end"/>
      </w:r>
      <w:r>
        <w:rPr>
          <w:color w:val="auto"/>
          <w:sz w:val="24"/>
          <w:szCs w:val="24"/>
          <w:highlight w:val="none"/>
        </w:rPr>
        <w:fldChar w:fldCharType="end"/>
      </w:r>
    </w:p>
    <w:p w14:paraId="1ADD16FA">
      <w:pPr>
        <w:pStyle w:val="29"/>
        <w:tabs>
          <w:tab w:val="right" w:leader="dot" w:pos="9684"/>
        </w:tabs>
        <w:rPr>
          <w:color w:val="auto"/>
          <w:highlight w:val="none"/>
        </w:rPr>
      </w:pPr>
      <w:r>
        <w:rPr>
          <w:color w:val="auto"/>
          <w:highlight w:val="none"/>
        </w:rPr>
        <w:fldChar w:fldCharType="begin"/>
      </w:r>
      <w:r>
        <w:rPr>
          <w:color w:val="auto"/>
          <w:highlight w:val="none"/>
        </w:rPr>
        <w:instrText xml:space="preserve"> HYPERLINK \l "_Toc11916" </w:instrText>
      </w:r>
      <w:r>
        <w:rPr>
          <w:color w:val="auto"/>
          <w:highlight w:val="none"/>
        </w:rPr>
        <w:fldChar w:fldCharType="separate"/>
      </w:r>
      <w:r>
        <w:rPr>
          <w:rFonts w:hint="eastAsia" w:asciiTheme="minorEastAsia" w:hAnsiTheme="minorEastAsia" w:eastAsiaTheme="minorEastAsia"/>
          <w:color w:val="auto"/>
          <w:sz w:val="24"/>
          <w:szCs w:val="24"/>
          <w:highlight w:val="none"/>
        </w:rPr>
        <w:t>第五章 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_Toc11916 \h </w:instrText>
      </w:r>
      <w:r>
        <w:rPr>
          <w:color w:val="auto"/>
          <w:sz w:val="24"/>
          <w:szCs w:val="24"/>
          <w:highlight w:val="none"/>
        </w:rPr>
        <w:fldChar w:fldCharType="separate"/>
      </w:r>
      <w:r>
        <w:rPr>
          <w:color w:val="auto"/>
          <w:sz w:val="24"/>
          <w:szCs w:val="24"/>
          <w:highlight w:val="none"/>
        </w:rPr>
        <w:t>33</w:t>
      </w:r>
      <w:r>
        <w:rPr>
          <w:color w:val="auto"/>
          <w:sz w:val="24"/>
          <w:szCs w:val="24"/>
          <w:highlight w:val="none"/>
        </w:rPr>
        <w:fldChar w:fldCharType="end"/>
      </w:r>
      <w:r>
        <w:rPr>
          <w:color w:val="auto"/>
          <w:sz w:val="24"/>
          <w:szCs w:val="24"/>
          <w:highlight w:val="none"/>
        </w:rPr>
        <w:fldChar w:fldCharType="end"/>
      </w:r>
    </w:p>
    <w:p w14:paraId="6AFF720E">
      <w:pPr>
        <w:rPr>
          <w:color w:val="auto"/>
          <w:highlight w:val="none"/>
        </w:rPr>
      </w:pPr>
      <w:r>
        <w:rPr>
          <w:rFonts w:hint="eastAsia" w:ascii="宋体" w:hAnsi="宋体" w:cs="宋体"/>
          <w:color w:val="auto"/>
          <w:szCs w:val="24"/>
          <w:highlight w:val="none"/>
        </w:rPr>
        <w:fldChar w:fldCharType="end"/>
      </w:r>
    </w:p>
    <w:p w14:paraId="351A22AF">
      <w:pPr>
        <w:pStyle w:val="4"/>
        <w:spacing w:before="200" w:after="200"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br w:type="page"/>
      </w:r>
      <w:bookmarkEnd w:id="10"/>
      <w:bookmarkEnd w:id="11"/>
      <w:bookmarkEnd w:id="12"/>
      <w:bookmarkStart w:id="13" w:name="_Toc22295577"/>
      <w:bookmarkStart w:id="14" w:name="_Toc30862"/>
      <w:bookmarkStart w:id="15" w:name="_Toc21376"/>
      <w:bookmarkStart w:id="16" w:name="_Toc18383"/>
      <w:bookmarkStart w:id="17" w:name="_Toc13037"/>
      <w:bookmarkStart w:id="18" w:name="_Hlk35416523"/>
      <w:bookmarkStart w:id="19" w:name="_Hlk37924017"/>
      <w:r>
        <w:rPr>
          <w:rFonts w:hint="eastAsia" w:asciiTheme="minorEastAsia" w:hAnsiTheme="minorEastAsia" w:eastAsiaTheme="minorEastAsia"/>
          <w:color w:val="auto"/>
          <w:sz w:val="30"/>
          <w:szCs w:val="30"/>
          <w:highlight w:val="none"/>
        </w:rPr>
        <w:t>招标</w:t>
      </w:r>
      <w:bookmarkEnd w:id="13"/>
      <w:r>
        <w:rPr>
          <w:rFonts w:hint="eastAsia" w:asciiTheme="minorEastAsia" w:hAnsiTheme="minorEastAsia" w:eastAsiaTheme="minorEastAsia"/>
          <w:color w:val="auto"/>
          <w:sz w:val="30"/>
          <w:szCs w:val="30"/>
          <w:highlight w:val="none"/>
        </w:rPr>
        <w:t>公告</w:t>
      </w:r>
      <w:bookmarkEnd w:id="14"/>
      <w:bookmarkEnd w:id="15"/>
      <w:bookmarkEnd w:id="16"/>
      <w:bookmarkEnd w:id="17"/>
    </w:p>
    <w:p w14:paraId="4754580E">
      <w:pPr>
        <w:spacing w:line="440" w:lineRule="exact"/>
        <w:ind w:firstLine="540" w:firstLineChars="225"/>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lang w:eastAsia="zh-CN"/>
        </w:rPr>
        <w:t>广州众源建设管理有限公司</w:t>
      </w:r>
      <w:r>
        <w:rPr>
          <w:rFonts w:hint="eastAsia" w:asciiTheme="minorEastAsia" w:hAnsiTheme="minorEastAsia" w:eastAsiaTheme="minorEastAsia"/>
          <w:color w:val="auto"/>
          <w:sz w:val="24"/>
          <w:szCs w:val="24"/>
          <w:highlight w:val="none"/>
        </w:rPr>
        <w:t>(以下简称“招标代理机构”) 受</w:t>
      </w:r>
      <w:r>
        <w:rPr>
          <w:rFonts w:hint="eastAsia" w:asciiTheme="minorEastAsia" w:hAnsiTheme="minorEastAsia" w:eastAsiaTheme="minorEastAsia"/>
          <w:color w:val="auto"/>
          <w:sz w:val="24"/>
          <w:szCs w:val="24"/>
          <w:highlight w:val="none"/>
          <w:lang w:eastAsia="zh-CN"/>
        </w:rPr>
        <w:t>广州市农科所科技发展有限公司</w:t>
      </w:r>
      <w:r>
        <w:rPr>
          <w:rFonts w:hint="eastAsia" w:asciiTheme="minorEastAsia" w:hAnsiTheme="minorEastAsia" w:eastAsiaTheme="minorEastAsia"/>
          <w:color w:val="auto"/>
          <w:sz w:val="24"/>
          <w:szCs w:val="24"/>
          <w:highlight w:val="none"/>
        </w:rPr>
        <w:t>（以下简称“ 采购人”)的委托，就以下采购项目进行公开招标，欢迎符合资格条件的投标人投标。</w:t>
      </w:r>
    </w:p>
    <w:p w14:paraId="256CB400">
      <w:pPr>
        <w:spacing w:before="193" w:beforeLines="50" w:line="440" w:lineRule="exact"/>
        <w:ind w:firstLine="482" w:firstLineChars="200"/>
        <w:jc w:val="both"/>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一、招标项目简介</w:t>
      </w:r>
    </w:p>
    <w:p w14:paraId="04A9F885">
      <w:pPr>
        <w:spacing w:line="440" w:lineRule="exact"/>
        <w:ind w:firstLine="480" w:firstLineChars="200"/>
        <w:jc w:val="both"/>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（一）项目名称：</w:t>
      </w:r>
      <w:r>
        <w:rPr>
          <w:rFonts w:hint="eastAsia" w:asciiTheme="minorEastAsia" w:hAnsiTheme="minorEastAsia" w:eastAsiaTheme="minorEastAsia"/>
          <w:color w:val="auto"/>
          <w:sz w:val="24"/>
          <w:szCs w:val="24"/>
          <w:highlight w:val="none"/>
          <w:lang w:eastAsia="zh-CN"/>
        </w:rPr>
        <w:t>广州市农科院鲜蔬火锅餐厅VI品牌策划设计全案整装招标</w:t>
      </w:r>
    </w:p>
    <w:p w14:paraId="1BD0C412">
      <w:pPr>
        <w:spacing w:line="440" w:lineRule="exact"/>
        <w:ind w:firstLine="480" w:firstLineChars="200"/>
        <w:jc w:val="both"/>
        <w:rPr>
          <w:rFonts w:hint="eastAsia" w:cs="Arial" w:asciiTheme="minorEastAsia" w:hAnsiTheme="minorEastAsia" w:eastAsiaTheme="minorEastAsia"/>
          <w:color w:val="auto"/>
          <w:sz w:val="24"/>
          <w:szCs w:val="24"/>
          <w:highlight w:val="none"/>
          <w:lang w:eastAsia="zh-CN"/>
        </w:rPr>
      </w:pPr>
      <w:r>
        <w:rPr>
          <w:rFonts w:hint="eastAsia" w:cs="Arial" w:asciiTheme="minorEastAsia" w:hAnsiTheme="minorEastAsia" w:eastAsiaTheme="minorEastAsia"/>
          <w:color w:val="auto"/>
          <w:sz w:val="24"/>
          <w:szCs w:val="24"/>
          <w:highlight w:val="none"/>
        </w:rPr>
        <w:t>（二）项目编号：</w:t>
      </w:r>
      <w:r>
        <w:rPr>
          <w:rFonts w:hint="eastAsia" w:cs="Arial" w:asciiTheme="minorEastAsia" w:hAnsiTheme="minorEastAsia" w:eastAsiaTheme="minorEastAsia"/>
          <w:color w:val="auto"/>
          <w:sz w:val="24"/>
          <w:szCs w:val="24"/>
          <w:highlight w:val="none"/>
          <w:lang w:eastAsia="zh-CN"/>
        </w:rPr>
        <w:t>ZYNK20250501</w:t>
      </w:r>
    </w:p>
    <w:p w14:paraId="51936339">
      <w:pPr>
        <w:spacing w:line="440" w:lineRule="exact"/>
        <w:ind w:firstLine="480" w:firstLineChars="200"/>
        <w:jc w:val="both"/>
        <w:rPr>
          <w:color w:val="auto"/>
          <w:highlight w:val="none"/>
        </w:rPr>
      </w:pPr>
      <w:r>
        <w:rPr>
          <w:rFonts w:hint="eastAsia" w:cs="Arial" w:asciiTheme="minorEastAsia" w:hAnsiTheme="minorEastAsia" w:eastAsiaTheme="minorEastAsia"/>
          <w:color w:val="auto"/>
          <w:sz w:val="24"/>
          <w:szCs w:val="24"/>
          <w:highlight w:val="none"/>
        </w:rPr>
        <w:t>（三）项目预算：人民币</w:t>
      </w:r>
      <w:r>
        <w:rPr>
          <w:rFonts w:hint="eastAsia" w:ascii="宋体" w:hAnsi="宋体" w:cs="宋体" w:eastAsiaTheme="minorEastAsia"/>
          <w:color w:val="auto"/>
          <w:sz w:val="24"/>
          <w:szCs w:val="24"/>
          <w:highlight w:val="none"/>
          <w:lang w:val="en-US" w:eastAsia="zh-CN"/>
        </w:rPr>
        <w:t>450,000.00</w:t>
      </w:r>
      <w:r>
        <w:rPr>
          <w:rFonts w:hint="eastAsia" w:cs="Arial" w:asciiTheme="minorEastAsia" w:hAnsiTheme="minorEastAsia" w:eastAsiaTheme="minorEastAsia"/>
          <w:color w:val="auto"/>
          <w:sz w:val="24"/>
          <w:szCs w:val="24"/>
          <w:highlight w:val="none"/>
        </w:rPr>
        <w:t>元。</w:t>
      </w:r>
    </w:p>
    <w:p w14:paraId="57F62821">
      <w:pPr>
        <w:spacing w:line="440" w:lineRule="exact"/>
        <w:ind w:firstLine="480" w:firstLineChars="200"/>
        <w:jc w:val="both"/>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（四）项目类别：</w:t>
      </w:r>
      <w:r>
        <w:rPr>
          <w:rFonts w:hint="eastAsia" w:cs="Arial" w:asciiTheme="minorEastAsia" w:hAnsiTheme="minorEastAsia" w:eastAsiaTheme="minorEastAsia"/>
          <w:color w:val="auto"/>
          <w:sz w:val="24"/>
          <w:szCs w:val="24"/>
          <w:highlight w:val="none"/>
          <w:lang w:val="en-US" w:eastAsia="zh-CN"/>
        </w:rPr>
        <w:t>工程</w:t>
      </w:r>
      <w:r>
        <w:rPr>
          <w:rFonts w:hint="eastAsia" w:cs="Arial" w:asciiTheme="minorEastAsia" w:hAnsiTheme="minorEastAsia" w:eastAsiaTheme="minorEastAsia"/>
          <w:color w:val="auto"/>
          <w:sz w:val="24"/>
          <w:szCs w:val="24"/>
          <w:highlight w:val="none"/>
        </w:rPr>
        <w:t>类</w:t>
      </w:r>
    </w:p>
    <w:p w14:paraId="589AF3BB">
      <w:pPr>
        <w:spacing w:line="440" w:lineRule="exact"/>
        <w:ind w:firstLine="480" w:firstLineChars="200"/>
        <w:jc w:val="both"/>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（五）资金来源：</w:t>
      </w:r>
      <w:r>
        <w:rPr>
          <w:rFonts w:hint="eastAsia" w:cs="Arial" w:asciiTheme="minorEastAsia" w:hAnsiTheme="minorEastAsia" w:eastAsiaTheme="minorEastAsia"/>
          <w:color w:val="auto"/>
          <w:sz w:val="24"/>
          <w:szCs w:val="24"/>
          <w:highlight w:val="none"/>
          <w:lang w:val="en-US" w:eastAsia="zh-CN"/>
        </w:rPr>
        <w:t>自筹</w:t>
      </w:r>
      <w:r>
        <w:rPr>
          <w:rFonts w:hint="eastAsia" w:cs="Arial" w:asciiTheme="minorEastAsia" w:hAnsiTheme="minorEastAsia" w:eastAsiaTheme="minorEastAsia"/>
          <w:color w:val="auto"/>
          <w:sz w:val="24"/>
          <w:szCs w:val="24"/>
          <w:highlight w:val="none"/>
        </w:rPr>
        <w:t>资金</w:t>
      </w:r>
    </w:p>
    <w:p w14:paraId="2EB6CB07">
      <w:pPr>
        <w:spacing w:line="440" w:lineRule="exact"/>
        <w:ind w:firstLine="480" w:firstLineChars="200"/>
        <w:jc w:val="both"/>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（六）采购内容：</w:t>
      </w:r>
      <w:r>
        <w:rPr>
          <w:rFonts w:hint="eastAsia" w:ascii="宋体" w:hAnsi="宋体" w:cs="Arial"/>
          <w:color w:val="auto"/>
          <w:sz w:val="24"/>
          <w:szCs w:val="24"/>
          <w:highlight w:val="none"/>
        </w:rPr>
        <w:t>选取一家中标人</w:t>
      </w:r>
      <w:r>
        <w:rPr>
          <w:rFonts w:hint="eastAsia" w:asciiTheme="minorEastAsia" w:hAnsiTheme="minorEastAsia" w:eastAsiaTheme="minorEastAsia" w:cstheme="minorEastAsia"/>
          <w:color w:val="auto"/>
          <w:sz w:val="24"/>
          <w:szCs w:val="22"/>
          <w:highlight w:val="none"/>
        </w:rPr>
        <w:t>，完成</w:t>
      </w:r>
      <w:r>
        <w:rPr>
          <w:rFonts w:hint="eastAsia" w:ascii="宋体" w:hAnsi="宋体" w:cs="宋体" w:eastAsiaTheme="minorEastAsia"/>
          <w:color w:val="auto"/>
          <w:sz w:val="24"/>
          <w:szCs w:val="24"/>
          <w:highlight w:val="none"/>
          <w:lang w:eastAsia="zh-CN"/>
        </w:rPr>
        <w:t>广州市农科院鲜蔬火锅餐厅VI品牌策划设计全案整装招标</w:t>
      </w:r>
      <w:r>
        <w:rPr>
          <w:rFonts w:hint="eastAsia" w:asciiTheme="minorEastAsia" w:hAnsiTheme="minorEastAsia" w:eastAsiaTheme="minorEastAsia" w:cstheme="minorEastAsia"/>
          <w:color w:val="auto"/>
          <w:sz w:val="24"/>
          <w:szCs w:val="22"/>
          <w:highlight w:val="none"/>
        </w:rPr>
        <w:t>，详见采购文件《</w:t>
      </w:r>
      <w:r>
        <w:rPr>
          <w:rFonts w:hint="eastAsia" w:asciiTheme="minorEastAsia" w:hAnsiTheme="minorEastAsia" w:eastAsiaTheme="minorEastAsia" w:cstheme="minorEastAsia"/>
          <w:color w:val="auto"/>
          <w:sz w:val="24"/>
          <w:szCs w:val="22"/>
          <w:highlight w:val="none"/>
          <w:lang w:val="en-US" w:eastAsia="zh-CN"/>
        </w:rPr>
        <w:t>招标人需求</w:t>
      </w:r>
      <w:r>
        <w:rPr>
          <w:rFonts w:hint="eastAsia" w:asciiTheme="minorEastAsia" w:hAnsiTheme="minorEastAsia" w:eastAsiaTheme="minorEastAsia" w:cstheme="minorEastAsia"/>
          <w:color w:val="auto"/>
          <w:sz w:val="24"/>
          <w:szCs w:val="22"/>
          <w:highlight w:val="none"/>
        </w:rPr>
        <w:t>》。</w:t>
      </w:r>
    </w:p>
    <w:p w14:paraId="390171EF">
      <w:pPr>
        <w:spacing w:line="440" w:lineRule="exact"/>
        <w:ind w:firstLine="480" w:firstLineChars="200"/>
        <w:jc w:val="both"/>
        <w:rPr>
          <w:rFonts w:hint="default" w:cs="Arial" w:asciiTheme="minorEastAsia" w:hAnsiTheme="minorEastAsia" w:eastAsiaTheme="minorEastAsia"/>
          <w:color w:val="auto"/>
          <w:sz w:val="24"/>
          <w:szCs w:val="24"/>
          <w:highlight w:val="none"/>
          <w:lang w:val="en-US" w:eastAsia="zh-CN"/>
        </w:rPr>
      </w:pPr>
      <w:r>
        <w:rPr>
          <w:rFonts w:hint="eastAsia" w:cs="Arial" w:asciiTheme="minorEastAsia" w:hAnsiTheme="minorEastAsia" w:eastAsiaTheme="minorEastAsia"/>
          <w:color w:val="auto"/>
          <w:sz w:val="24"/>
          <w:szCs w:val="24"/>
          <w:highlight w:val="none"/>
        </w:rPr>
        <w:t>（七）</w:t>
      </w:r>
      <w:r>
        <w:rPr>
          <w:rFonts w:hint="eastAsia" w:cs="Arial" w:asciiTheme="minorEastAsia" w:hAnsiTheme="minorEastAsia" w:eastAsiaTheme="minorEastAsia"/>
          <w:color w:val="auto"/>
          <w:sz w:val="24"/>
          <w:szCs w:val="24"/>
          <w:highlight w:val="none"/>
          <w:lang w:val="en-US" w:eastAsia="zh-CN"/>
        </w:rPr>
        <w:t>项目建设工期：45天（日历天）</w:t>
      </w:r>
    </w:p>
    <w:p w14:paraId="4D1BA8C3">
      <w:pPr>
        <w:spacing w:line="440" w:lineRule="exact"/>
        <w:ind w:firstLine="480" w:firstLineChars="200"/>
        <w:jc w:val="both"/>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（八）服务</w:t>
      </w:r>
      <w:bookmarkStart w:id="20" w:name="_Hlk25050914"/>
      <w:r>
        <w:rPr>
          <w:rFonts w:hint="eastAsia" w:cs="Arial" w:asciiTheme="minorEastAsia" w:hAnsiTheme="minorEastAsia" w:eastAsiaTheme="minorEastAsia"/>
          <w:color w:val="auto"/>
          <w:sz w:val="24"/>
          <w:szCs w:val="24"/>
          <w:highlight w:val="none"/>
        </w:rPr>
        <w:t>要求：详见采购文件《</w:t>
      </w:r>
      <w:r>
        <w:rPr>
          <w:rFonts w:hint="eastAsia" w:cs="Arial" w:asciiTheme="minorEastAsia" w:hAnsiTheme="minorEastAsia" w:eastAsiaTheme="minorEastAsia"/>
          <w:color w:val="auto"/>
          <w:sz w:val="24"/>
          <w:szCs w:val="24"/>
          <w:highlight w:val="none"/>
          <w:lang w:eastAsia="zh-CN"/>
        </w:rPr>
        <w:t>招标人需求</w:t>
      </w:r>
      <w:r>
        <w:rPr>
          <w:rFonts w:hint="eastAsia" w:cs="Arial" w:asciiTheme="minorEastAsia" w:hAnsiTheme="minorEastAsia" w:eastAsiaTheme="minorEastAsia"/>
          <w:color w:val="auto"/>
          <w:sz w:val="24"/>
          <w:szCs w:val="24"/>
          <w:highlight w:val="none"/>
        </w:rPr>
        <w:t>》</w:t>
      </w:r>
      <w:bookmarkEnd w:id="20"/>
      <w:r>
        <w:rPr>
          <w:rFonts w:hint="eastAsia" w:cs="Arial" w:asciiTheme="minorEastAsia" w:hAnsiTheme="minorEastAsia" w:eastAsiaTheme="minorEastAsia"/>
          <w:color w:val="auto"/>
          <w:sz w:val="24"/>
          <w:szCs w:val="24"/>
          <w:highlight w:val="none"/>
        </w:rPr>
        <w:t>。</w:t>
      </w:r>
    </w:p>
    <w:p w14:paraId="60F70BC8">
      <w:pPr>
        <w:spacing w:before="193" w:beforeLines="50" w:line="440" w:lineRule="exact"/>
        <w:ind w:left="567"/>
        <w:jc w:val="both"/>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二、投标人资格要求</w:t>
      </w:r>
    </w:p>
    <w:p w14:paraId="74197031">
      <w:pPr>
        <w:pStyle w:val="164"/>
        <w:spacing w:line="440" w:lineRule="exact"/>
        <w:ind w:firstLine="480"/>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（一）</w:t>
      </w:r>
      <w:r>
        <w:rPr>
          <w:rFonts w:hint="eastAsia" w:cs="宋体" w:asciiTheme="minorEastAsia" w:hAnsiTheme="minorEastAsia"/>
          <w:color w:val="auto"/>
          <w:sz w:val="24"/>
          <w:szCs w:val="24"/>
          <w:highlight w:val="none"/>
          <w:lang w:eastAsia="zh-CN"/>
        </w:rPr>
        <w:t>在中华人民共和国境内注册的具有独立承担民事责任能力的法人或其他组织，并取得合法的营业执照。</w:t>
      </w:r>
    </w:p>
    <w:p w14:paraId="6B9883D8">
      <w:pPr>
        <w:pStyle w:val="164"/>
        <w:spacing w:line="440" w:lineRule="exact"/>
        <w:ind w:firstLine="480"/>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rPr>
        <w:t>（二）</w:t>
      </w:r>
      <w:r>
        <w:rPr>
          <w:rFonts w:hint="eastAsia" w:cs="宋体" w:asciiTheme="minorEastAsia" w:hAnsiTheme="minorEastAsia"/>
          <w:color w:val="auto"/>
          <w:sz w:val="24"/>
          <w:szCs w:val="24"/>
          <w:highlight w:val="none"/>
          <w:lang w:val="en-US" w:eastAsia="zh-CN"/>
        </w:rPr>
        <w:t>投标人</w:t>
      </w:r>
      <w:r>
        <w:rPr>
          <w:rFonts w:hint="eastAsia" w:cs="宋体" w:asciiTheme="minorEastAsia" w:hAnsiTheme="minorEastAsia"/>
          <w:color w:val="auto"/>
          <w:sz w:val="24"/>
          <w:szCs w:val="24"/>
          <w:highlight w:val="none"/>
          <w:lang w:eastAsia="zh-CN"/>
        </w:rPr>
        <w:t>具备</w:t>
      </w:r>
      <w:r>
        <w:rPr>
          <w:rFonts w:hint="eastAsia" w:cs="宋体" w:asciiTheme="minorEastAsia" w:hAnsiTheme="minorEastAsia"/>
          <w:color w:val="auto"/>
          <w:sz w:val="24"/>
          <w:szCs w:val="24"/>
          <w:highlight w:val="none"/>
          <w:lang w:val="en-US" w:eastAsia="zh-CN"/>
        </w:rPr>
        <w:t>有效期内的建设行政主管部门颁发的</w:t>
      </w:r>
      <w:r>
        <w:rPr>
          <w:rFonts w:hint="eastAsia" w:cs="宋体" w:asciiTheme="minorEastAsia" w:hAnsiTheme="minorEastAsia"/>
          <w:color w:val="auto"/>
          <w:sz w:val="24"/>
          <w:szCs w:val="24"/>
          <w:highlight w:val="none"/>
          <w:lang w:eastAsia="zh-CN"/>
        </w:rPr>
        <w:t>建筑装修装饰工程专业承包二级（或以上）资质。</w:t>
      </w:r>
    </w:p>
    <w:p w14:paraId="6B493027">
      <w:pPr>
        <w:pStyle w:val="164"/>
        <w:spacing w:line="440" w:lineRule="exact"/>
        <w:ind w:firstLine="480"/>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rPr>
        <w:t>（三）</w:t>
      </w:r>
      <w:r>
        <w:rPr>
          <w:rFonts w:hint="eastAsia" w:cs="宋体" w:asciiTheme="minorEastAsia" w:hAnsiTheme="minorEastAsia"/>
          <w:color w:val="auto"/>
          <w:sz w:val="24"/>
          <w:szCs w:val="24"/>
          <w:highlight w:val="none"/>
          <w:lang w:val="en-US" w:eastAsia="zh-CN"/>
        </w:rPr>
        <w:t>投标人拟派</w:t>
      </w:r>
      <w:r>
        <w:rPr>
          <w:rFonts w:hint="eastAsia" w:cs="宋体" w:asciiTheme="minorEastAsia" w:hAnsiTheme="minorEastAsia"/>
          <w:color w:val="auto"/>
          <w:sz w:val="24"/>
          <w:szCs w:val="24"/>
          <w:highlight w:val="none"/>
          <w:lang w:eastAsia="zh-CN"/>
        </w:rPr>
        <w:t>项目负责人需取得建筑工程专业二级</w:t>
      </w:r>
      <w:r>
        <w:rPr>
          <w:rFonts w:hint="eastAsia" w:cs="宋体" w:asciiTheme="minorEastAsia" w:hAnsiTheme="minorEastAsia"/>
          <w:color w:val="auto"/>
          <w:sz w:val="24"/>
          <w:szCs w:val="24"/>
          <w:highlight w:val="none"/>
          <w:lang w:val="en-US" w:eastAsia="zh-CN"/>
        </w:rPr>
        <w:t>或</w:t>
      </w:r>
      <w:r>
        <w:rPr>
          <w:rFonts w:hint="eastAsia" w:cs="宋体" w:asciiTheme="minorEastAsia" w:hAnsiTheme="minorEastAsia"/>
          <w:color w:val="auto"/>
          <w:sz w:val="24"/>
          <w:szCs w:val="24"/>
          <w:highlight w:val="none"/>
          <w:lang w:eastAsia="zh-CN"/>
        </w:rPr>
        <w:t>以上注册建造师执业证书（</w:t>
      </w:r>
      <w:r>
        <w:rPr>
          <w:rFonts w:hint="eastAsia" w:cs="宋体" w:asciiTheme="minorEastAsia" w:hAnsiTheme="minorEastAsia"/>
          <w:color w:val="auto"/>
          <w:sz w:val="24"/>
          <w:szCs w:val="24"/>
          <w:highlight w:val="none"/>
          <w:lang w:val="en-US" w:eastAsia="zh-CN"/>
        </w:rPr>
        <w:t>注册单位需为报价单位</w:t>
      </w:r>
      <w:r>
        <w:rPr>
          <w:rFonts w:hint="eastAsia" w:cs="宋体" w:asciiTheme="minorEastAsia" w:hAnsiTheme="minorEastAsia"/>
          <w:color w:val="auto"/>
          <w:sz w:val="24"/>
          <w:szCs w:val="24"/>
          <w:highlight w:val="none"/>
          <w:lang w:eastAsia="zh-CN"/>
        </w:rPr>
        <w:t>），同时持有</w:t>
      </w:r>
      <w:r>
        <w:rPr>
          <w:rFonts w:hint="eastAsia" w:ascii="宋体" w:hAnsi="宋体" w:eastAsia="宋体"/>
          <w:color w:val="auto"/>
          <w:sz w:val="24"/>
          <w:szCs w:val="24"/>
          <w:highlight w:val="none"/>
        </w:rPr>
        <w:t>安全培训考核合格证（</w:t>
      </w:r>
      <w:r>
        <w:rPr>
          <w:rFonts w:ascii="宋体" w:hAnsi="宋体" w:eastAsia="宋体"/>
          <w:color w:val="auto"/>
          <w:sz w:val="24"/>
          <w:szCs w:val="24"/>
          <w:highlight w:val="none"/>
        </w:rPr>
        <w:t>B</w:t>
      </w:r>
      <w:r>
        <w:rPr>
          <w:rFonts w:hint="eastAsia" w:ascii="宋体" w:hAnsi="宋体" w:eastAsia="宋体"/>
          <w:color w:val="auto"/>
          <w:sz w:val="24"/>
          <w:szCs w:val="24"/>
          <w:highlight w:val="none"/>
        </w:rPr>
        <w:t>类）或能够提供广东省建筑施工企业管理人员安全生产考核信息系统安全生产管理人员证书信息的网页截图</w:t>
      </w:r>
      <w:r>
        <w:rPr>
          <w:rFonts w:hint="eastAsia" w:cs="宋体" w:asciiTheme="minorEastAsia" w:hAnsiTheme="minorEastAsia"/>
          <w:color w:val="auto"/>
          <w:sz w:val="24"/>
          <w:szCs w:val="24"/>
          <w:highlight w:val="none"/>
          <w:lang w:eastAsia="zh-CN"/>
        </w:rPr>
        <w:t>，且无在建项目（提供声明函，</w:t>
      </w:r>
      <w:r>
        <w:rPr>
          <w:rFonts w:hint="eastAsia" w:cs="宋体" w:asciiTheme="minorEastAsia" w:hAnsiTheme="minorEastAsia"/>
          <w:color w:val="auto"/>
          <w:sz w:val="24"/>
          <w:szCs w:val="24"/>
          <w:highlight w:val="none"/>
          <w:lang w:val="en-US" w:eastAsia="zh-CN"/>
        </w:rPr>
        <w:t>格式自拟</w:t>
      </w:r>
      <w:r>
        <w:rPr>
          <w:rFonts w:hint="eastAsia" w:cs="宋体" w:asciiTheme="minorEastAsia" w:hAnsiTheme="minorEastAsia"/>
          <w:color w:val="auto"/>
          <w:sz w:val="24"/>
          <w:szCs w:val="24"/>
          <w:highlight w:val="none"/>
          <w:lang w:eastAsia="zh-CN"/>
        </w:rPr>
        <w:t>）。</w:t>
      </w:r>
    </w:p>
    <w:p w14:paraId="6CB840B0">
      <w:pPr>
        <w:pStyle w:val="164"/>
        <w:spacing w:line="440" w:lineRule="exact"/>
        <w:ind w:firstLine="480"/>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rPr>
        <w:t>（四）</w:t>
      </w:r>
      <w:r>
        <w:rPr>
          <w:rFonts w:hint="eastAsia" w:cs="宋体" w:asciiTheme="minorEastAsia" w:hAnsiTheme="minorEastAsia"/>
          <w:color w:val="auto"/>
          <w:sz w:val="24"/>
          <w:szCs w:val="24"/>
          <w:highlight w:val="none"/>
          <w:lang w:val="en-US" w:eastAsia="zh-CN"/>
        </w:rPr>
        <w:t>投标人</w:t>
      </w:r>
      <w:r>
        <w:rPr>
          <w:rFonts w:hint="eastAsia" w:cs="宋体" w:asciiTheme="minorEastAsia" w:hAnsiTheme="minorEastAsia"/>
          <w:color w:val="auto"/>
          <w:sz w:val="24"/>
          <w:szCs w:val="24"/>
          <w:highlight w:val="none"/>
          <w:lang w:eastAsia="zh-CN"/>
        </w:rPr>
        <w:t>具有良好的商业信誉和健全的财务会计制度。</w:t>
      </w:r>
    </w:p>
    <w:p w14:paraId="79DE7338">
      <w:pPr>
        <w:pStyle w:val="164"/>
        <w:spacing w:line="440" w:lineRule="exact"/>
        <w:ind w:firstLine="480"/>
        <w:rPr>
          <w:rFonts w:cs="宋体" w:asciiTheme="minorEastAsia" w:hAnsiTheme="minorEastAsia"/>
          <w:color w:val="auto"/>
          <w:sz w:val="24"/>
          <w:szCs w:val="24"/>
          <w:highlight w:val="none"/>
        </w:rPr>
      </w:pPr>
      <w:r>
        <w:rPr>
          <w:rFonts w:hint="eastAsia" w:ascii="宋体" w:hAnsi="宋体"/>
          <w:color w:val="auto"/>
          <w:sz w:val="24"/>
          <w:szCs w:val="24"/>
          <w:highlight w:val="none"/>
        </w:rPr>
        <w:t>（五）</w:t>
      </w:r>
      <w:r>
        <w:rPr>
          <w:rFonts w:hint="eastAsia" w:cs="宋体" w:asciiTheme="minorEastAsia" w:hAnsiTheme="minorEastAsia"/>
          <w:color w:val="auto"/>
          <w:sz w:val="24"/>
          <w:szCs w:val="24"/>
          <w:highlight w:val="none"/>
          <w:lang w:val="en-US" w:eastAsia="zh-CN"/>
        </w:rPr>
        <w:t>投标人</w:t>
      </w:r>
      <w:r>
        <w:rPr>
          <w:rFonts w:hint="eastAsia" w:cs="宋体" w:asciiTheme="minorEastAsia" w:hAnsiTheme="minorEastAsia"/>
          <w:color w:val="auto"/>
          <w:sz w:val="24"/>
          <w:szCs w:val="24"/>
          <w:highlight w:val="none"/>
          <w:lang w:eastAsia="zh-CN"/>
        </w:rPr>
        <w:t>未被列入“信用中国”网站（www.creditchina.gov.cn）“记录失信被执行人或重大税收违法失信主体”记录名单；不处于中国政府采购网（www.ccgp.gov.cn）“政府采购严重违法失信行为信息记录”中的禁止参加政府采购活动期间。（以招标代理机构于投标（响应）截止时间当天在“信用中国”网站（www.creditchina.gov.cn）及中国政府采购网（www.ccgp.gov.cn） 查询结果为准，如相关失信记录已失效，</w:t>
      </w:r>
      <w:r>
        <w:rPr>
          <w:rFonts w:hint="eastAsia" w:cs="宋体" w:asciiTheme="minorEastAsia" w:hAnsiTheme="minorEastAsia"/>
          <w:color w:val="auto"/>
          <w:sz w:val="24"/>
          <w:szCs w:val="24"/>
          <w:highlight w:val="none"/>
          <w:lang w:val="en-US" w:eastAsia="zh-CN"/>
        </w:rPr>
        <w:t>投标人</w:t>
      </w:r>
      <w:r>
        <w:rPr>
          <w:rFonts w:hint="eastAsia" w:cs="宋体" w:asciiTheme="minorEastAsia" w:hAnsiTheme="minorEastAsia"/>
          <w:color w:val="auto"/>
          <w:sz w:val="24"/>
          <w:szCs w:val="24"/>
          <w:highlight w:val="none"/>
          <w:lang w:eastAsia="zh-CN"/>
        </w:rPr>
        <w:t>需提供相关证明资料）。</w:t>
      </w:r>
    </w:p>
    <w:p w14:paraId="6F3E7A05">
      <w:pPr>
        <w:pStyle w:val="164"/>
        <w:spacing w:line="440" w:lineRule="exact"/>
        <w:ind w:firstLine="480"/>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（六）</w:t>
      </w:r>
      <w:r>
        <w:rPr>
          <w:rFonts w:hint="eastAsia" w:cs="宋体" w:asciiTheme="minorEastAsia" w:hAnsiTheme="minorEastAsia"/>
          <w:color w:val="auto"/>
          <w:sz w:val="24"/>
          <w:szCs w:val="24"/>
          <w:highlight w:val="none"/>
          <w:lang w:val="en-US" w:eastAsia="zh-CN"/>
        </w:rPr>
        <w:t>投标人</w:t>
      </w:r>
      <w:r>
        <w:rPr>
          <w:rFonts w:hint="eastAsia" w:cs="宋体" w:asciiTheme="minorEastAsia" w:hAnsiTheme="minorEastAsia"/>
          <w:color w:val="auto"/>
          <w:sz w:val="24"/>
          <w:szCs w:val="24"/>
          <w:highlight w:val="none"/>
          <w:lang w:eastAsia="zh-CN"/>
        </w:rPr>
        <w:t>单位负责人为同一人或者存在控股、管理等关联关系的不同单位，不得参加本次招标项目</w:t>
      </w:r>
      <w:r>
        <w:rPr>
          <w:rFonts w:hint="eastAsia" w:cs="宋体" w:asciiTheme="minorEastAsia" w:hAnsiTheme="minorEastAsia"/>
          <w:color w:val="auto"/>
          <w:sz w:val="24"/>
          <w:szCs w:val="24"/>
          <w:highlight w:val="none"/>
          <w:lang w:val="en-US" w:eastAsia="zh-CN"/>
        </w:rPr>
        <w:t>投标。</w:t>
      </w:r>
    </w:p>
    <w:p w14:paraId="7E99DADF">
      <w:pPr>
        <w:spacing w:before="193" w:beforeLines="50" w:line="440" w:lineRule="exact"/>
        <w:ind w:left="564"/>
        <w:jc w:val="both"/>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三、登记及采购文件的获取时间、获取方式、采购文件售价、保证金缴纳</w:t>
      </w:r>
    </w:p>
    <w:p w14:paraId="34C3FC54">
      <w:pPr>
        <w:spacing w:line="440" w:lineRule="exact"/>
        <w:ind w:firstLine="480" w:firstLineChars="200"/>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（一）登记及购买采购文件时间：</w:t>
      </w:r>
      <w:r>
        <w:rPr>
          <w:rFonts w:hint="eastAsia" w:cs="Arial" w:asciiTheme="minorEastAsia" w:hAnsiTheme="minorEastAsia"/>
          <w:color w:val="auto"/>
          <w:sz w:val="24"/>
          <w:szCs w:val="24"/>
          <w:highlight w:val="none"/>
        </w:rPr>
        <w:t>202</w:t>
      </w:r>
      <w:r>
        <w:rPr>
          <w:rFonts w:hint="eastAsia" w:cs="Arial" w:asciiTheme="minorEastAsia" w:hAnsiTheme="minorEastAsia"/>
          <w:color w:val="auto"/>
          <w:sz w:val="24"/>
          <w:szCs w:val="24"/>
          <w:highlight w:val="none"/>
          <w:lang w:val="en-US" w:eastAsia="zh-CN"/>
        </w:rPr>
        <w:t>5</w:t>
      </w:r>
      <w:r>
        <w:rPr>
          <w:rFonts w:hint="eastAsia" w:cs="Arial" w:asciiTheme="minorEastAsia" w:hAnsiTheme="minorEastAsia"/>
          <w:color w:val="auto"/>
          <w:sz w:val="24"/>
          <w:szCs w:val="24"/>
          <w:highlight w:val="none"/>
        </w:rPr>
        <w:t>年</w:t>
      </w:r>
      <w:r>
        <w:rPr>
          <w:rFonts w:hint="eastAsia" w:cs="Arial" w:asciiTheme="minorEastAsia" w:hAnsiTheme="minorEastAsia"/>
          <w:color w:val="auto"/>
          <w:sz w:val="24"/>
          <w:szCs w:val="24"/>
          <w:highlight w:val="none"/>
          <w:u w:val="single"/>
          <w:lang w:val="en-US" w:eastAsia="zh-CN"/>
        </w:rPr>
        <w:t>6</w:t>
      </w:r>
      <w:r>
        <w:rPr>
          <w:rFonts w:hint="eastAsia" w:cs="Arial" w:asciiTheme="minorEastAsia" w:hAnsiTheme="minorEastAsia"/>
          <w:color w:val="auto"/>
          <w:sz w:val="24"/>
          <w:szCs w:val="24"/>
          <w:highlight w:val="none"/>
        </w:rPr>
        <w:t>月</w:t>
      </w:r>
      <w:r>
        <w:rPr>
          <w:rFonts w:hint="eastAsia" w:cs="Arial" w:asciiTheme="minorEastAsia" w:hAnsiTheme="minorEastAsia"/>
          <w:color w:val="auto"/>
          <w:sz w:val="24"/>
          <w:szCs w:val="24"/>
          <w:highlight w:val="none"/>
          <w:u w:val="single"/>
          <w:lang w:val="en-US" w:eastAsia="zh-CN"/>
        </w:rPr>
        <w:t>20</w:t>
      </w:r>
      <w:r>
        <w:rPr>
          <w:rFonts w:hint="eastAsia" w:cs="Arial" w:asciiTheme="minorEastAsia" w:hAnsiTheme="minorEastAsia"/>
          <w:color w:val="auto"/>
          <w:sz w:val="24"/>
          <w:szCs w:val="24"/>
          <w:highlight w:val="none"/>
        </w:rPr>
        <w:t>日至202</w:t>
      </w:r>
      <w:r>
        <w:rPr>
          <w:rFonts w:hint="eastAsia" w:cs="Arial" w:asciiTheme="minorEastAsia" w:hAnsiTheme="minorEastAsia"/>
          <w:color w:val="auto"/>
          <w:sz w:val="24"/>
          <w:szCs w:val="24"/>
          <w:highlight w:val="none"/>
          <w:lang w:val="en-US" w:eastAsia="zh-CN"/>
        </w:rPr>
        <w:t>5</w:t>
      </w:r>
      <w:r>
        <w:rPr>
          <w:rFonts w:hint="eastAsia" w:cs="Arial" w:asciiTheme="minorEastAsia" w:hAnsiTheme="minorEastAsia"/>
          <w:color w:val="auto"/>
          <w:sz w:val="24"/>
          <w:szCs w:val="24"/>
          <w:highlight w:val="none"/>
        </w:rPr>
        <w:t>年</w:t>
      </w:r>
      <w:r>
        <w:rPr>
          <w:rFonts w:hint="eastAsia" w:cs="Arial" w:asciiTheme="minorEastAsia" w:hAnsiTheme="minorEastAsia"/>
          <w:color w:val="auto"/>
          <w:sz w:val="24"/>
          <w:szCs w:val="24"/>
          <w:highlight w:val="none"/>
          <w:u w:val="single"/>
          <w:lang w:val="en-US" w:eastAsia="zh-CN"/>
        </w:rPr>
        <w:t>6</w:t>
      </w:r>
      <w:r>
        <w:rPr>
          <w:rFonts w:hint="eastAsia" w:cs="Arial" w:asciiTheme="minorEastAsia" w:hAnsiTheme="minorEastAsia"/>
          <w:color w:val="auto"/>
          <w:sz w:val="24"/>
          <w:szCs w:val="24"/>
          <w:highlight w:val="none"/>
        </w:rPr>
        <w:t>月</w:t>
      </w:r>
      <w:r>
        <w:rPr>
          <w:rFonts w:hint="eastAsia" w:cs="Arial" w:asciiTheme="minorEastAsia" w:hAnsiTheme="minorEastAsia"/>
          <w:color w:val="auto"/>
          <w:sz w:val="24"/>
          <w:szCs w:val="24"/>
          <w:highlight w:val="none"/>
          <w:u w:val="single"/>
          <w:lang w:val="en-US" w:eastAsia="zh-CN"/>
        </w:rPr>
        <w:t>27</w:t>
      </w:r>
      <w:r>
        <w:rPr>
          <w:rFonts w:hint="eastAsia" w:cs="Arial" w:asciiTheme="minorEastAsia" w:hAnsiTheme="minorEastAsia"/>
          <w:color w:val="auto"/>
          <w:sz w:val="24"/>
          <w:szCs w:val="24"/>
          <w:highlight w:val="none"/>
        </w:rPr>
        <w:t>日下午1</w:t>
      </w:r>
      <w:r>
        <w:rPr>
          <w:rFonts w:cs="Arial" w:asciiTheme="minorEastAsia" w:hAnsiTheme="minorEastAsia"/>
          <w:color w:val="auto"/>
          <w:sz w:val="24"/>
          <w:szCs w:val="24"/>
          <w:highlight w:val="none"/>
        </w:rPr>
        <w:t>7</w:t>
      </w:r>
      <w:r>
        <w:rPr>
          <w:rFonts w:hint="eastAsia" w:cs="Arial" w:asciiTheme="minorEastAsia" w:hAnsiTheme="minorEastAsia"/>
          <w:color w:val="auto"/>
          <w:sz w:val="24"/>
          <w:szCs w:val="24"/>
          <w:highlight w:val="none"/>
        </w:rPr>
        <w:t>:</w:t>
      </w:r>
      <w:r>
        <w:rPr>
          <w:rFonts w:cs="Arial" w:asciiTheme="minorEastAsia" w:hAnsiTheme="minorEastAsia"/>
          <w:color w:val="auto"/>
          <w:sz w:val="24"/>
          <w:szCs w:val="24"/>
          <w:highlight w:val="none"/>
        </w:rPr>
        <w:t>00</w:t>
      </w:r>
      <w:r>
        <w:rPr>
          <w:rFonts w:hint="eastAsia" w:cs="Arial" w:asciiTheme="minorEastAsia" w:hAnsiTheme="minorEastAsia" w:eastAsiaTheme="minorEastAsia"/>
          <w:color w:val="auto"/>
          <w:sz w:val="24"/>
          <w:szCs w:val="24"/>
          <w:highlight w:val="none"/>
        </w:rPr>
        <w:t>（节假日除外）</w:t>
      </w:r>
      <w:r>
        <w:rPr>
          <w:rFonts w:hint="eastAsia" w:cs="Arial" w:asciiTheme="minorEastAsia" w:hAnsiTheme="minorEastAsia"/>
          <w:color w:val="auto"/>
          <w:sz w:val="24"/>
          <w:szCs w:val="24"/>
          <w:highlight w:val="none"/>
        </w:rPr>
        <w:t>。</w:t>
      </w:r>
    </w:p>
    <w:p w14:paraId="4DAC1282">
      <w:pPr>
        <w:spacing w:line="440" w:lineRule="exact"/>
        <w:ind w:firstLine="480" w:firstLineChars="200"/>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（二）登记及获取采购文件方式：</w:t>
      </w:r>
    </w:p>
    <w:p w14:paraId="350D6DBB">
      <w:pPr>
        <w:spacing w:line="440" w:lineRule="exact"/>
        <w:ind w:firstLine="480" w:firstLineChars="200"/>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1. 本项目采用网上注册登记。投标人在购买采购文件之前，须在</w:t>
      </w:r>
      <w:r>
        <w:rPr>
          <w:rFonts w:hint="eastAsia" w:cs="Arial" w:asciiTheme="minorEastAsia" w:hAnsiTheme="minorEastAsia"/>
          <w:color w:val="auto"/>
          <w:sz w:val="24"/>
          <w:szCs w:val="24"/>
          <w:highlight w:val="none"/>
        </w:rPr>
        <w:t>阳光采购服务平台（下简称“本平台”）</w:t>
      </w:r>
      <w:r>
        <w:rPr>
          <w:rFonts w:hint="eastAsia" w:asciiTheme="minorEastAsia" w:hAnsiTheme="minorEastAsia"/>
          <w:color w:val="auto"/>
          <w:sz w:val="24"/>
          <w:szCs w:val="24"/>
          <w:highlight w:val="none"/>
        </w:rPr>
        <w:t>注册企业账号并根据平台提示完善企业信息（注册指引详见网址：https://www.gzsun.com.cn/fwzn/003003/list.html）。</w:t>
      </w:r>
    </w:p>
    <w:p w14:paraId="2C4EF759">
      <w:pPr>
        <w:spacing w:line="440" w:lineRule="exact"/>
        <w:ind w:firstLine="480" w:firstLineChars="200"/>
        <w:rPr>
          <w:rFonts w:asciiTheme="minorEastAsia" w:hAnsiTheme="minorEastAsia"/>
          <w:color w:val="auto"/>
          <w:sz w:val="24"/>
          <w:szCs w:val="24"/>
          <w:highlight w:val="none"/>
        </w:rPr>
      </w:pPr>
      <w:bookmarkStart w:id="21" w:name="_Hlk76026045"/>
      <w:r>
        <w:rPr>
          <w:rFonts w:hint="eastAsia" w:asciiTheme="minorEastAsia" w:hAnsiTheme="minorEastAsia"/>
          <w:color w:val="auto"/>
          <w:sz w:val="24"/>
          <w:szCs w:val="24"/>
          <w:highlight w:val="none"/>
        </w:rPr>
        <w:t>注：购买采购文件的单位，均被视为已充分理解本公告的有关要求，采购人及招标代理机构均无责任承担其是否符合投标人资格要求条件而引起的一切后果。</w:t>
      </w:r>
      <w:bookmarkEnd w:id="21"/>
    </w:p>
    <w:p w14:paraId="4250C7A1">
      <w:pPr>
        <w:numPr>
          <w:ilvl w:val="0"/>
          <w:numId w:val="3"/>
        </w:numPr>
        <w:spacing w:line="440" w:lineRule="exact"/>
        <w:ind w:firstLine="480" w:firstLineChars="200"/>
        <w:rPr>
          <w:rFonts w:ascii="宋体" w:hAnsi="宋体" w:cs="宋体"/>
          <w:color w:val="auto"/>
          <w:sz w:val="24"/>
          <w:szCs w:val="24"/>
          <w:highlight w:val="none"/>
        </w:rPr>
      </w:pPr>
      <w:r>
        <w:rPr>
          <w:rFonts w:hint="eastAsia" w:asciiTheme="minorEastAsia" w:hAnsiTheme="minorEastAsia"/>
          <w:color w:val="auto"/>
          <w:sz w:val="24"/>
          <w:szCs w:val="24"/>
          <w:highlight w:val="none"/>
        </w:rPr>
        <w:t>现场咨询地点：</w:t>
      </w:r>
      <w:r>
        <w:rPr>
          <w:rFonts w:hint="eastAsia" w:asciiTheme="minorEastAsia" w:hAnsiTheme="minorEastAsia" w:eastAsiaTheme="minorEastAsia"/>
          <w:color w:val="auto"/>
          <w:sz w:val="24"/>
          <w:szCs w:val="24"/>
          <w:highlight w:val="none"/>
          <w:lang w:eastAsia="zh-CN"/>
        </w:rPr>
        <w:t>广州众源建设管理有限公司</w:t>
      </w:r>
      <w:r>
        <w:rPr>
          <w:rFonts w:hint="eastAsia" w:ascii="宋体" w:hAnsi="宋体" w:cs="宋体"/>
          <w:color w:val="auto"/>
          <w:sz w:val="24"/>
          <w:szCs w:val="24"/>
          <w:highlight w:val="none"/>
        </w:rPr>
        <w:t>（咨询电话：</w:t>
      </w:r>
      <w:r>
        <w:rPr>
          <w:rFonts w:hint="eastAsia" w:ascii="宋体" w:hAnsi="宋体" w:cs="宋体"/>
          <w:color w:val="auto"/>
          <w:sz w:val="24"/>
          <w:szCs w:val="24"/>
          <w:highlight w:val="none"/>
          <w:lang w:val="en-US" w:eastAsia="zh-CN"/>
        </w:rPr>
        <w:t>020-83572822</w:t>
      </w:r>
      <w:r>
        <w:rPr>
          <w:rFonts w:hint="eastAsia" w:ascii="宋体" w:hAnsi="宋体" w:cs="宋体"/>
          <w:color w:val="auto"/>
          <w:sz w:val="24"/>
          <w:szCs w:val="24"/>
          <w:highlight w:val="none"/>
        </w:rPr>
        <w:t>）；系统操作可以致电咨询：020-89160590。</w:t>
      </w:r>
    </w:p>
    <w:p w14:paraId="060AAE0C">
      <w:pPr>
        <w:spacing w:line="440" w:lineRule="exact"/>
        <w:ind w:firstLine="480" w:firstLineChars="200"/>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（三）采购文件</w:t>
      </w:r>
      <w:r>
        <w:rPr>
          <w:rFonts w:hint="eastAsia" w:cs="Tahoma" w:asciiTheme="minorEastAsia" w:hAnsiTheme="minorEastAsia"/>
          <w:color w:val="auto"/>
          <w:sz w:val="24"/>
          <w:szCs w:val="24"/>
          <w:highlight w:val="none"/>
        </w:rPr>
        <w:t>售价</w:t>
      </w:r>
      <w:r>
        <w:rPr>
          <w:rFonts w:hint="eastAsia" w:asciiTheme="minorEastAsia" w:hAnsiTheme="minorEastAsia"/>
          <w:color w:val="auto"/>
          <w:sz w:val="24"/>
          <w:szCs w:val="24"/>
          <w:highlight w:val="none"/>
        </w:rPr>
        <w:t>：</w:t>
      </w:r>
      <w:r>
        <w:rPr>
          <w:rFonts w:hint="eastAsia" w:ascii="宋体" w:hAnsi="宋体"/>
          <w:color w:val="auto"/>
          <w:sz w:val="24"/>
          <w:szCs w:val="24"/>
          <w:highlight w:val="none"/>
        </w:rPr>
        <w:t>人民币500元，售后不退。由阳光采购服务平台代收。成功办理登记的投标人请按照平台提示在线交纳标书费用，交纳后自行下载招标文件。</w:t>
      </w:r>
    </w:p>
    <w:p w14:paraId="010B7FE5">
      <w:pPr>
        <w:spacing w:line="440" w:lineRule="exact"/>
        <w:ind w:left="426"/>
        <w:jc w:val="both"/>
        <w:rPr>
          <w:rFonts w:ascii="宋体" w:hAnsi="宋体" w:cs="宋体"/>
          <w:color w:val="auto"/>
          <w:sz w:val="24"/>
          <w:szCs w:val="24"/>
          <w:highlight w:val="none"/>
        </w:rPr>
      </w:pPr>
      <w:r>
        <w:rPr>
          <w:rFonts w:hint="eastAsia" w:cs="Arial" w:asciiTheme="minorEastAsia" w:hAnsiTheme="minorEastAsia"/>
          <w:color w:val="auto"/>
          <w:sz w:val="24"/>
          <w:szCs w:val="24"/>
          <w:highlight w:val="none"/>
        </w:rPr>
        <w:t>（四）</w:t>
      </w:r>
      <w:r>
        <w:rPr>
          <w:rFonts w:hint="eastAsia" w:cs="Arial" w:asciiTheme="minorEastAsia" w:hAnsiTheme="minorEastAsia" w:eastAsiaTheme="minorEastAsia"/>
          <w:color w:val="auto"/>
          <w:sz w:val="24"/>
          <w:szCs w:val="24"/>
          <w:highlight w:val="none"/>
        </w:rPr>
        <w:t>投标保证金金额</w:t>
      </w:r>
      <w:bookmarkStart w:id="22" w:name="_Hlk22820096"/>
      <w:r>
        <w:rPr>
          <w:rFonts w:hint="eastAsia" w:cs="Arial" w:asciiTheme="minorEastAsia" w:hAnsiTheme="minorEastAsia" w:eastAsiaTheme="minorEastAsia"/>
          <w:color w:val="auto"/>
          <w:sz w:val="24"/>
          <w:szCs w:val="24"/>
          <w:highlight w:val="none"/>
        </w:rPr>
        <w:t>如下：</w:t>
      </w:r>
      <w:bookmarkEnd w:id="22"/>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5,000.00</w:t>
      </w:r>
      <w:r>
        <w:rPr>
          <w:rFonts w:hint="eastAsia" w:ascii="宋体" w:hAnsi="宋体" w:cs="宋体"/>
          <w:color w:val="auto"/>
          <w:sz w:val="24"/>
          <w:szCs w:val="24"/>
          <w:highlight w:val="none"/>
        </w:rPr>
        <w:t>元(人民币</w:t>
      </w:r>
      <w:r>
        <w:rPr>
          <w:rFonts w:hint="eastAsia" w:ascii="宋体" w:hAnsi="宋体" w:cs="宋体"/>
          <w:color w:val="auto"/>
          <w:sz w:val="24"/>
          <w:szCs w:val="24"/>
          <w:highlight w:val="none"/>
          <w:lang w:val="en-US" w:eastAsia="zh-CN"/>
        </w:rPr>
        <w:t>伍仟元整</w:t>
      </w:r>
      <w:r>
        <w:rPr>
          <w:rFonts w:hint="eastAsia" w:ascii="宋体" w:hAnsi="宋体" w:cs="宋体"/>
          <w:color w:val="auto"/>
          <w:sz w:val="24"/>
          <w:szCs w:val="24"/>
          <w:highlight w:val="none"/>
        </w:rPr>
        <w:t>)；</w:t>
      </w:r>
    </w:p>
    <w:p w14:paraId="5DA36943">
      <w:pPr>
        <w:spacing w:line="440" w:lineRule="exact"/>
        <w:ind w:firstLine="480" w:firstLineChars="200"/>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1.</w:t>
      </w:r>
      <w:r>
        <w:rPr>
          <w:rFonts w:hint="eastAsia" w:asciiTheme="minorEastAsia" w:hAnsiTheme="minorEastAsia"/>
          <w:b/>
          <w:bCs/>
          <w:color w:val="auto"/>
          <w:sz w:val="24"/>
          <w:szCs w:val="24"/>
          <w:highlight w:val="none"/>
        </w:rPr>
        <w:t>投标保证金的形式：</w:t>
      </w:r>
      <w:r>
        <w:rPr>
          <w:rFonts w:hint="eastAsia" w:asciiTheme="minorEastAsia" w:hAnsiTheme="minorEastAsia"/>
          <w:color w:val="auto"/>
          <w:sz w:val="24"/>
          <w:szCs w:val="24"/>
          <w:highlight w:val="none"/>
        </w:rPr>
        <w:t>投标保证金可采用转账、投标保证保险、投标保函（银行或专业担保公司出具）等形式，须在递交投标文件截止时间前完成缴纳。投标保证金有效期：与投标有效期一致。</w:t>
      </w:r>
    </w:p>
    <w:p w14:paraId="7EE72843">
      <w:pPr>
        <w:spacing w:line="440" w:lineRule="exact"/>
        <w:ind w:firstLine="480" w:firstLineChars="200"/>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2.</w:t>
      </w:r>
      <w:r>
        <w:rPr>
          <w:rFonts w:hint="eastAsia" w:asciiTheme="minorEastAsia" w:hAnsiTheme="minorEastAsia"/>
          <w:bCs/>
          <w:color w:val="auto"/>
          <w:sz w:val="24"/>
          <w:szCs w:val="24"/>
          <w:highlight w:val="none"/>
        </w:rPr>
        <w:t>采用转账形式提交投标保证金的，保证金须在投标截止时间前划达对应项目账号，否则为无效保证金。汇款时请注明所投项目名称。投标人在平台完成项目登记后，在平台首页右上方“我的项目”模块，找到已完成登记的项目，点击“项目流程”，进入项目的“保证金查询”模块，即可查看对应项目的保证金账号信息。</w:t>
      </w:r>
    </w:p>
    <w:p w14:paraId="491C6D79">
      <w:pPr>
        <w:spacing w:line="440" w:lineRule="exact"/>
        <w:ind w:firstLine="480" w:firstLineChars="200"/>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3.投标人如采用提交银行投标保函、担保保函或提交投标保证保险，须开具给采购人（保险受益人须为采购人）。投标人应在投标文件中提交保函或保险的扫描件（或复印件）并加盖投标人公章，须在投标截止时间前半小时内单独密封递交至开标室。</w:t>
      </w:r>
    </w:p>
    <w:p w14:paraId="060CD277">
      <w:pPr>
        <w:spacing w:line="440" w:lineRule="exact"/>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（开标室地址：广州市越秀区流花路123号广州越秀国际会议中心北塔七楼</w:t>
      </w:r>
      <w:r>
        <w:rPr>
          <w:rFonts w:hint="eastAsia" w:asciiTheme="minorEastAsia" w:hAnsiTheme="minorEastAsia"/>
          <w:bCs/>
          <w:color w:val="auto"/>
          <w:sz w:val="24"/>
          <w:szCs w:val="24"/>
          <w:highlight w:val="none"/>
          <w:lang w:val="en-US" w:eastAsia="zh-CN"/>
        </w:rPr>
        <w:t>706开标室</w:t>
      </w:r>
      <w:r>
        <w:rPr>
          <w:rFonts w:hint="eastAsia" w:asciiTheme="minorEastAsia" w:hAnsiTheme="minorEastAsia"/>
          <w:color w:val="auto"/>
          <w:sz w:val="24"/>
          <w:szCs w:val="24"/>
          <w:highlight w:val="none"/>
        </w:rPr>
        <w:t>）</w:t>
      </w:r>
    </w:p>
    <w:p w14:paraId="3EBA24E8">
      <w:pPr>
        <w:spacing w:line="440" w:lineRule="exact"/>
        <w:ind w:left="564"/>
        <w:jc w:val="both"/>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四、投标人注意事项</w:t>
      </w:r>
    </w:p>
    <w:p w14:paraId="193D10E5">
      <w:pPr>
        <w:spacing w:line="440" w:lineRule="exact"/>
        <w:ind w:firstLine="480" w:firstLineChars="200"/>
        <w:jc w:val="both"/>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asciiTheme="minorEastAsia" w:hAnsiTheme="minorEastAsia" w:eastAsiaTheme="minorEastAsia"/>
          <w:bCs/>
          <w:color w:val="auto"/>
          <w:sz w:val="24"/>
          <w:szCs w:val="24"/>
          <w:highlight w:val="none"/>
        </w:rPr>
        <w:t>.</w:t>
      </w:r>
      <w:r>
        <w:rPr>
          <w:rFonts w:hint="eastAsia" w:asciiTheme="minorEastAsia" w:hAnsiTheme="minorEastAsia" w:eastAsiaTheme="minorEastAsia"/>
          <w:bCs/>
          <w:color w:val="auto"/>
          <w:sz w:val="24"/>
          <w:szCs w:val="24"/>
          <w:highlight w:val="none"/>
        </w:rPr>
        <w:t>招标代理机构不对投标人进行项目投标登记时提交的相关资料的真实性负</w:t>
      </w:r>
      <w:bookmarkStart w:id="358" w:name="_GoBack"/>
      <w:bookmarkEnd w:id="358"/>
      <w:r>
        <w:rPr>
          <w:rFonts w:hint="eastAsia" w:asciiTheme="minorEastAsia" w:hAnsiTheme="minorEastAsia" w:eastAsiaTheme="minorEastAsia"/>
          <w:bCs/>
          <w:color w:val="auto"/>
          <w:sz w:val="24"/>
          <w:szCs w:val="24"/>
          <w:highlight w:val="none"/>
        </w:rPr>
        <w:t>责，如投标人发现相关资料被盗用或复制，应遵循法律途径解决，追究侵权者责任。</w:t>
      </w:r>
    </w:p>
    <w:p w14:paraId="3EBA163C">
      <w:pPr>
        <w:spacing w:line="440" w:lineRule="exact"/>
        <w:ind w:firstLine="480" w:firstLineChars="200"/>
        <w:jc w:val="both"/>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2.招标代理机构将不承担投标人准备投标文件和递交投标文件以及参加本次采购活动所发生的任何成本或费用。</w:t>
      </w:r>
    </w:p>
    <w:p w14:paraId="41A42C12">
      <w:pPr>
        <w:spacing w:line="440" w:lineRule="exact"/>
        <w:ind w:left="564"/>
        <w:jc w:val="both"/>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五、现场考察及招标答疑会</w:t>
      </w:r>
    </w:p>
    <w:p w14:paraId="31251096">
      <w:pPr>
        <w:spacing w:line="440" w:lineRule="exact"/>
        <w:ind w:firstLine="480" w:firstLineChars="200"/>
        <w:jc w:val="both"/>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（一）本项目</w:t>
      </w:r>
      <w:r>
        <w:rPr>
          <w:rFonts w:hint="eastAsia" w:asciiTheme="minorEastAsia" w:hAnsiTheme="minorEastAsia" w:eastAsiaTheme="minorEastAsia"/>
          <w:color w:val="auto"/>
          <w:sz w:val="24"/>
          <w:szCs w:val="24"/>
          <w:highlight w:val="none"/>
          <w:lang w:val="en-US" w:eastAsia="zh-CN"/>
        </w:rPr>
        <w:t>设置统一时间</w:t>
      </w:r>
      <w:r>
        <w:rPr>
          <w:rFonts w:hint="eastAsia" w:asciiTheme="minorEastAsia" w:hAnsiTheme="minorEastAsia" w:eastAsiaTheme="minorEastAsia"/>
          <w:color w:val="auto"/>
          <w:sz w:val="24"/>
          <w:szCs w:val="24"/>
          <w:highlight w:val="none"/>
        </w:rPr>
        <w:t>现场勘察</w:t>
      </w:r>
      <w:r>
        <w:rPr>
          <w:rFonts w:hint="eastAsia" w:asciiTheme="minorEastAsia" w:hAnsiTheme="minorEastAsia" w:eastAsiaTheme="minorEastAsia"/>
          <w:color w:val="auto"/>
          <w:sz w:val="24"/>
          <w:szCs w:val="24"/>
          <w:highlight w:val="none"/>
          <w:lang w:eastAsia="zh-CN"/>
        </w:rPr>
        <w:t>，</w:t>
      </w:r>
      <w:r>
        <w:rPr>
          <w:rFonts w:hint="eastAsia" w:asciiTheme="minorEastAsia" w:hAnsiTheme="minorEastAsia" w:eastAsiaTheme="minorEastAsia"/>
          <w:color w:val="auto"/>
          <w:sz w:val="24"/>
          <w:szCs w:val="24"/>
          <w:highlight w:val="none"/>
          <w:lang w:val="en-US" w:eastAsia="zh-CN"/>
        </w:rPr>
        <w:t>具体时间及要求见第二章《招标人要求》</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u w:val="single"/>
        </w:rPr>
        <w:t xml:space="preserve"> </w:t>
      </w:r>
    </w:p>
    <w:p w14:paraId="48CC4D36">
      <w:pPr>
        <w:spacing w:line="440" w:lineRule="exact"/>
        <w:ind w:firstLine="480" w:firstLineChars="20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（二）本项目不需要现场招标答疑会。</w:t>
      </w:r>
    </w:p>
    <w:bookmarkEnd w:id="18"/>
    <w:bookmarkEnd w:id="19"/>
    <w:p w14:paraId="5EC3DC8D">
      <w:pPr>
        <w:spacing w:line="440" w:lineRule="exact"/>
        <w:ind w:left="482"/>
        <w:jc w:val="both"/>
        <w:rPr>
          <w:rFonts w:asciiTheme="minorEastAsia" w:hAnsiTheme="minorEastAsia"/>
          <w:b/>
          <w:color w:val="auto"/>
          <w:sz w:val="24"/>
          <w:szCs w:val="24"/>
          <w:highlight w:val="none"/>
        </w:rPr>
      </w:pPr>
      <w:r>
        <w:rPr>
          <w:rFonts w:hint="eastAsia" w:asciiTheme="minorEastAsia" w:hAnsiTheme="minorEastAsia"/>
          <w:b/>
          <w:color w:val="auto"/>
          <w:sz w:val="24"/>
          <w:szCs w:val="24"/>
          <w:highlight w:val="none"/>
        </w:rPr>
        <w:t>六、提交投标文件截止时间、开标时间和地点：</w:t>
      </w:r>
      <w:r>
        <w:rPr>
          <w:rFonts w:asciiTheme="minorEastAsia" w:hAnsiTheme="minorEastAsia"/>
          <w:b/>
          <w:color w:val="auto"/>
          <w:sz w:val="24"/>
          <w:szCs w:val="24"/>
          <w:highlight w:val="none"/>
        </w:rPr>
        <w:t xml:space="preserve"> </w:t>
      </w:r>
    </w:p>
    <w:p w14:paraId="7E066122">
      <w:pPr>
        <w:spacing w:line="440" w:lineRule="exact"/>
        <w:ind w:firstLine="480" w:firstLineChars="200"/>
        <w:rPr>
          <w:rFonts w:asciiTheme="minorEastAsia" w:hAnsiTheme="minorEastAsia"/>
          <w:bCs/>
          <w:color w:val="auto"/>
          <w:sz w:val="24"/>
          <w:szCs w:val="24"/>
          <w:highlight w:val="none"/>
        </w:rPr>
      </w:pPr>
      <w:r>
        <w:rPr>
          <w:rFonts w:hint="eastAsia" w:asciiTheme="minorEastAsia" w:hAnsiTheme="minorEastAsia"/>
          <w:bCs/>
          <w:color w:val="auto"/>
          <w:sz w:val="24"/>
          <w:szCs w:val="24"/>
          <w:highlight w:val="none"/>
        </w:rPr>
        <w:t>（一）</w:t>
      </w:r>
      <w:r>
        <w:rPr>
          <w:rFonts w:hint="eastAsia" w:asciiTheme="minorEastAsia" w:hAnsiTheme="minorEastAsia"/>
          <w:bCs/>
          <w:color w:val="auto"/>
          <w:sz w:val="24"/>
          <w:szCs w:val="24"/>
          <w:highlight w:val="none"/>
        </w:rPr>
        <w:tab/>
      </w:r>
      <w:r>
        <w:rPr>
          <w:rFonts w:hint="eastAsia" w:asciiTheme="minorEastAsia" w:hAnsiTheme="minorEastAsia"/>
          <w:bCs/>
          <w:color w:val="auto"/>
          <w:sz w:val="24"/>
          <w:szCs w:val="24"/>
          <w:highlight w:val="none"/>
        </w:rPr>
        <w:t>递交投标文件时间：202</w:t>
      </w:r>
      <w:r>
        <w:rPr>
          <w:rFonts w:hint="eastAsia" w:asciiTheme="minorEastAsia" w:hAnsiTheme="minorEastAsia"/>
          <w:bCs/>
          <w:color w:val="auto"/>
          <w:sz w:val="24"/>
          <w:szCs w:val="24"/>
          <w:highlight w:val="none"/>
          <w:lang w:val="en-US" w:eastAsia="zh-CN"/>
        </w:rPr>
        <w:t>5</w:t>
      </w:r>
      <w:r>
        <w:rPr>
          <w:rFonts w:hint="eastAsia" w:asciiTheme="minorEastAsia" w:hAnsiTheme="minorEastAsia"/>
          <w:bCs/>
          <w:color w:val="auto"/>
          <w:sz w:val="24"/>
          <w:szCs w:val="24"/>
          <w:highlight w:val="none"/>
        </w:rPr>
        <w:t>年</w:t>
      </w:r>
      <w:r>
        <w:rPr>
          <w:rFonts w:hint="eastAsia" w:cs="Arial" w:asciiTheme="minorEastAsia" w:hAnsiTheme="minorEastAsia"/>
          <w:color w:val="auto"/>
          <w:sz w:val="24"/>
          <w:szCs w:val="24"/>
          <w:highlight w:val="none"/>
          <w:u w:val="single"/>
          <w:lang w:val="en-US" w:eastAsia="zh-CN"/>
        </w:rPr>
        <w:t>7</w:t>
      </w:r>
      <w:r>
        <w:rPr>
          <w:rFonts w:hint="eastAsia" w:cs="Arial" w:asciiTheme="minorEastAsia" w:hAnsiTheme="minorEastAsia"/>
          <w:color w:val="auto"/>
          <w:sz w:val="24"/>
          <w:szCs w:val="24"/>
          <w:highlight w:val="none"/>
        </w:rPr>
        <w:t>月</w:t>
      </w:r>
      <w:r>
        <w:rPr>
          <w:rFonts w:hint="eastAsia" w:cs="Arial" w:asciiTheme="minorEastAsia" w:hAnsiTheme="minorEastAsia"/>
          <w:color w:val="auto"/>
          <w:sz w:val="24"/>
          <w:szCs w:val="24"/>
          <w:highlight w:val="none"/>
          <w:u w:val="single"/>
          <w:lang w:val="en-US" w:eastAsia="zh-CN"/>
        </w:rPr>
        <w:t>15</w:t>
      </w:r>
      <w:r>
        <w:rPr>
          <w:rFonts w:hint="eastAsia" w:cs="Arial" w:asciiTheme="minorEastAsia" w:hAnsiTheme="minorEastAsia"/>
          <w:color w:val="auto"/>
          <w:sz w:val="24"/>
          <w:szCs w:val="24"/>
          <w:highlight w:val="none"/>
        </w:rPr>
        <w:t>日</w:t>
      </w:r>
      <w:r>
        <w:rPr>
          <w:rFonts w:hint="eastAsia" w:asciiTheme="minorEastAsia" w:hAnsiTheme="minorEastAsia"/>
          <w:bCs/>
          <w:color w:val="auto"/>
          <w:sz w:val="24"/>
          <w:szCs w:val="24"/>
          <w:highlight w:val="none"/>
        </w:rPr>
        <w:t>上午</w:t>
      </w:r>
      <w:r>
        <w:rPr>
          <w:rFonts w:hint="eastAsia" w:asciiTheme="minorEastAsia" w:hAnsiTheme="minorEastAsia"/>
          <w:bCs/>
          <w:color w:val="auto"/>
          <w:sz w:val="24"/>
          <w:szCs w:val="24"/>
          <w:highlight w:val="none"/>
          <w:lang w:val="en-US" w:eastAsia="zh-CN"/>
        </w:rPr>
        <w:t>10</w:t>
      </w:r>
      <w:r>
        <w:rPr>
          <w:rFonts w:hint="eastAsia" w:asciiTheme="minorEastAsia" w:hAnsiTheme="minorEastAsia"/>
          <w:bCs/>
          <w:color w:val="auto"/>
          <w:sz w:val="24"/>
          <w:szCs w:val="24"/>
          <w:highlight w:val="none"/>
          <w:lang w:eastAsia="zh-CN"/>
        </w:rPr>
        <w:t>：</w:t>
      </w:r>
      <w:r>
        <w:rPr>
          <w:rFonts w:hint="eastAsia" w:asciiTheme="minorEastAsia" w:hAnsiTheme="minorEastAsia"/>
          <w:bCs/>
          <w:color w:val="auto"/>
          <w:sz w:val="24"/>
          <w:szCs w:val="24"/>
          <w:highlight w:val="none"/>
          <w:lang w:val="en-US" w:eastAsia="zh-CN"/>
        </w:rPr>
        <w:t>00</w:t>
      </w:r>
      <w:r>
        <w:rPr>
          <w:rFonts w:hint="eastAsia" w:asciiTheme="minorEastAsia" w:hAnsiTheme="minorEastAsia"/>
          <w:bCs/>
          <w:color w:val="auto"/>
          <w:sz w:val="24"/>
          <w:szCs w:val="24"/>
          <w:highlight w:val="none"/>
        </w:rPr>
        <w:t>－</w:t>
      </w:r>
      <w:r>
        <w:rPr>
          <w:rFonts w:hint="eastAsia" w:asciiTheme="minorEastAsia" w:hAnsiTheme="minorEastAsia"/>
          <w:bCs/>
          <w:color w:val="auto"/>
          <w:sz w:val="24"/>
          <w:szCs w:val="24"/>
          <w:highlight w:val="none"/>
          <w:lang w:val="en-US" w:eastAsia="zh-CN"/>
        </w:rPr>
        <w:t>10</w:t>
      </w:r>
      <w:r>
        <w:rPr>
          <w:rFonts w:hint="eastAsia" w:asciiTheme="minorEastAsia" w:hAnsiTheme="minorEastAsia"/>
          <w:bCs/>
          <w:color w:val="auto"/>
          <w:sz w:val="24"/>
          <w:szCs w:val="24"/>
          <w:highlight w:val="none"/>
        </w:rPr>
        <w:t>:</w:t>
      </w:r>
      <w:r>
        <w:rPr>
          <w:rFonts w:hint="eastAsia" w:asciiTheme="minorEastAsia" w:hAnsiTheme="minorEastAsia"/>
          <w:bCs/>
          <w:color w:val="auto"/>
          <w:sz w:val="24"/>
          <w:szCs w:val="24"/>
          <w:highlight w:val="none"/>
          <w:lang w:val="en-US" w:eastAsia="zh-CN"/>
        </w:rPr>
        <w:t>30</w:t>
      </w:r>
      <w:r>
        <w:rPr>
          <w:rFonts w:hint="eastAsia" w:asciiTheme="minorEastAsia" w:hAnsiTheme="minorEastAsia"/>
          <w:bCs/>
          <w:color w:val="auto"/>
          <w:sz w:val="24"/>
          <w:szCs w:val="24"/>
          <w:highlight w:val="none"/>
        </w:rPr>
        <w:t>。</w:t>
      </w:r>
    </w:p>
    <w:p w14:paraId="063609B5">
      <w:pPr>
        <w:spacing w:line="440" w:lineRule="exact"/>
        <w:ind w:firstLine="480" w:firstLineChars="200"/>
        <w:rPr>
          <w:rFonts w:asciiTheme="minorEastAsia" w:hAnsiTheme="minorEastAsia"/>
          <w:bCs/>
          <w:color w:val="auto"/>
          <w:sz w:val="24"/>
          <w:szCs w:val="24"/>
          <w:highlight w:val="none"/>
        </w:rPr>
      </w:pPr>
      <w:r>
        <w:rPr>
          <w:rFonts w:hint="eastAsia" w:asciiTheme="minorEastAsia" w:hAnsiTheme="minorEastAsia"/>
          <w:bCs/>
          <w:color w:val="auto"/>
          <w:sz w:val="24"/>
          <w:szCs w:val="24"/>
          <w:highlight w:val="none"/>
        </w:rPr>
        <w:t>（二）</w:t>
      </w:r>
      <w:r>
        <w:rPr>
          <w:rFonts w:hint="eastAsia" w:asciiTheme="minorEastAsia" w:hAnsiTheme="minorEastAsia"/>
          <w:bCs/>
          <w:color w:val="auto"/>
          <w:sz w:val="24"/>
          <w:szCs w:val="24"/>
          <w:highlight w:val="none"/>
        </w:rPr>
        <w:tab/>
      </w:r>
      <w:r>
        <w:rPr>
          <w:rFonts w:hint="eastAsia" w:asciiTheme="minorEastAsia" w:hAnsiTheme="minorEastAsia"/>
          <w:bCs/>
          <w:color w:val="auto"/>
          <w:sz w:val="24"/>
          <w:szCs w:val="24"/>
          <w:highlight w:val="none"/>
        </w:rPr>
        <w:t>投标截止及开标时间：202</w:t>
      </w:r>
      <w:r>
        <w:rPr>
          <w:rFonts w:hint="eastAsia" w:asciiTheme="minorEastAsia" w:hAnsiTheme="minorEastAsia"/>
          <w:bCs/>
          <w:color w:val="auto"/>
          <w:sz w:val="24"/>
          <w:szCs w:val="24"/>
          <w:highlight w:val="none"/>
          <w:lang w:val="en-US" w:eastAsia="zh-CN"/>
        </w:rPr>
        <w:t>5</w:t>
      </w:r>
      <w:r>
        <w:rPr>
          <w:rFonts w:hint="eastAsia" w:asciiTheme="minorEastAsia" w:hAnsiTheme="minorEastAsia"/>
          <w:bCs/>
          <w:color w:val="auto"/>
          <w:sz w:val="24"/>
          <w:szCs w:val="24"/>
          <w:highlight w:val="none"/>
        </w:rPr>
        <w:t>年</w:t>
      </w:r>
      <w:r>
        <w:rPr>
          <w:rFonts w:hint="eastAsia" w:cs="Arial" w:asciiTheme="minorEastAsia" w:hAnsiTheme="minorEastAsia"/>
          <w:color w:val="auto"/>
          <w:sz w:val="24"/>
          <w:szCs w:val="24"/>
          <w:highlight w:val="none"/>
          <w:u w:val="single"/>
          <w:lang w:val="en-US" w:eastAsia="zh-CN"/>
        </w:rPr>
        <w:t>7</w:t>
      </w:r>
      <w:r>
        <w:rPr>
          <w:rFonts w:hint="eastAsia" w:cs="Arial" w:asciiTheme="minorEastAsia" w:hAnsiTheme="minorEastAsia"/>
          <w:color w:val="auto"/>
          <w:sz w:val="24"/>
          <w:szCs w:val="24"/>
          <w:highlight w:val="none"/>
        </w:rPr>
        <w:t>月</w:t>
      </w:r>
      <w:r>
        <w:rPr>
          <w:rFonts w:hint="eastAsia" w:cs="Arial" w:asciiTheme="minorEastAsia" w:hAnsiTheme="minorEastAsia"/>
          <w:color w:val="auto"/>
          <w:sz w:val="24"/>
          <w:szCs w:val="24"/>
          <w:highlight w:val="none"/>
          <w:u w:val="single"/>
          <w:lang w:val="en-US" w:eastAsia="zh-CN"/>
        </w:rPr>
        <w:t>15</w:t>
      </w:r>
      <w:r>
        <w:rPr>
          <w:rFonts w:hint="eastAsia" w:cs="Arial" w:asciiTheme="minorEastAsia" w:hAnsiTheme="minorEastAsia"/>
          <w:color w:val="auto"/>
          <w:sz w:val="24"/>
          <w:szCs w:val="24"/>
          <w:highlight w:val="none"/>
        </w:rPr>
        <w:t>日</w:t>
      </w:r>
      <w:r>
        <w:rPr>
          <w:rFonts w:hint="eastAsia" w:asciiTheme="minorEastAsia" w:hAnsiTheme="minorEastAsia"/>
          <w:bCs/>
          <w:color w:val="auto"/>
          <w:sz w:val="24"/>
          <w:szCs w:val="24"/>
          <w:highlight w:val="none"/>
        </w:rPr>
        <w:t>上午</w:t>
      </w:r>
      <w:r>
        <w:rPr>
          <w:rFonts w:hint="eastAsia" w:asciiTheme="minorEastAsia" w:hAnsiTheme="minorEastAsia"/>
          <w:bCs/>
          <w:color w:val="auto"/>
          <w:sz w:val="24"/>
          <w:szCs w:val="24"/>
          <w:highlight w:val="none"/>
          <w:lang w:val="en-US" w:eastAsia="zh-CN"/>
        </w:rPr>
        <w:t>10</w:t>
      </w:r>
      <w:r>
        <w:rPr>
          <w:rFonts w:hint="eastAsia" w:asciiTheme="minorEastAsia" w:hAnsiTheme="minorEastAsia"/>
          <w:bCs/>
          <w:color w:val="auto"/>
          <w:sz w:val="24"/>
          <w:szCs w:val="24"/>
          <w:highlight w:val="none"/>
        </w:rPr>
        <w:t>:</w:t>
      </w:r>
      <w:r>
        <w:rPr>
          <w:rFonts w:hint="eastAsia" w:asciiTheme="minorEastAsia" w:hAnsiTheme="minorEastAsia"/>
          <w:bCs/>
          <w:color w:val="auto"/>
          <w:sz w:val="24"/>
          <w:szCs w:val="24"/>
          <w:highlight w:val="none"/>
          <w:lang w:val="en-US" w:eastAsia="zh-CN"/>
        </w:rPr>
        <w:t>30</w:t>
      </w:r>
      <w:r>
        <w:rPr>
          <w:rFonts w:hint="eastAsia" w:asciiTheme="minorEastAsia" w:hAnsiTheme="minorEastAsia"/>
          <w:bCs/>
          <w:color w:val="auto"/>
          <w:sz w:val="24"/>
          <w:szCs w:val="24"/>
          <w:highlight w:val="none"/>
        </w:rPr>
        <w:t>，逾期不予受理。</w:t>
      </w:r>
    </w:p>
    <w:p w14:paraId="154EC054">
      <w:pPr>
        <w:spacing w:line="440" w:lineRule="exact"/>
        <w:ind w:firstLine="480" w:firstLineChars="200"/>
        <w:rPr>
          <w:rFonts w:asciiTheme="minorEastAsia" w:hAnsiTheme="minorEastAsia"/>
          <w:bCs/>
          <w:color w:val="auto"/>
          <w:sz w:val="24"/>
          <w:szCs w:val="24"/>
          <w:highlight w:val="none"/>
        </w:rPr>
      </w:pPr>
      <w:r>
        <w:rPr>
          <w:rFonts w:hint="eastAsia" w:asciiTheme="minorEastAsia" w:hAnsiTheme="minorEastAsia"/>
          <w:bCs/>
          <w:color w:val="auto"/>
          <w:sz w:val="24"/>
          <w:szCs w:val="24"/>
          <w:highlight w:val="none"/>
        </w:rPr>
        <w:t>（三）</w:t>
      </w:r>
      <w:r>
        <w:rPr>
          <w:rFonts w:hint="eastAsia" w:asciiTheme="minorEastAsia" w:hAnsiTheme="minorEastAsia"/>
          <w:bCs/>
          <w:color w:val="auto"/>
          <w:sz w:val="24"/>
          <w:szCs w:val="24"/>
          <w:highlight w:val="none"/>
        </w:rPr>
        <w:tab/>
      </w:r>
      <w:r>
        <w:rPr>
          <w:rFonts w:hint="eastAsia" w:asciiTheme="minorEastAsia" w:hAnsiTheme="minorEastAsia"/>
          <w:bCs/>
          <w:color w:val="auto"/>
          <w:sz w:val="24"/>
          <w:szCs w:val="24"/>
          <w:highlight w:val="none"/>
        </w:rPr>
        <w:t>递交投标文件及开标地点：广州市越秀区流花路123号广州越秀国际会议中心北塔七楼</w:t>
      </w:r>
      <w:r>
        <w:rPr>
          <w:rFonts w:hint="eastAsia" w:asciiTheme="minorEastAsia" w:hAnsiTheme="minorEastAsia"/>
          <w:bCs/>
          <w:color w:val="auto"/>
          <w:sz w:val="24"/>
          <w:szCs w:val="24"/>
          <w:highlight w:val="none"/>
          <w:lang w:val="en-US" w:eastAsia="zh-CN"/>
        </w:rPr>
        <w:t>706开标室</w:t>
      </w:r>
      <w:r>
        <w:rPr>
          <w:rFonts w:hint="eastAsia" w:asciiTheme="minorEastAsia" w:hAnsiTheme="minorEastAsia"/>
          <w:bCs/>
          <w:color w:val="auto"/>
          <w:sz w:val="24"/>
          <w:szCs w:val="24"/>
          <w:highlight w:val="none"/>
        </w:rPr>
        <w:t>。</w:t>
      </w:r>
      <w:r>
        <w:rPr>
          <w:rFonts w:asciiTheme="minorEastAsia" w:hAnsiTheme="minorEastAsia"/>
          <w:bCs/>
          <w:color w:val="auto"/>
          <w:sz w:val="24"/>
          <w:szCs w:val="24"/>
          <w:highlight w:val="none"/>
        </w:rPr>
        <w:t xml:space="preserve"> </w:t>
      </w:r>
    </w:p>
    <w:p w14:paraId="2168F33A">
      <w:pPr>
        <w:spacing w:line="440" w:lineRule="exact"/>
        <w:ind w:left="564"/>
        <w:jc w:val="both"/>
        <w:rPr>
          <w:rFonts w:asciiTheme="minorEastAsia" w:hAnsiTheme="minorEastAsia"/>
          <w:b/>
          <w:color w:val="auto"/>
          <w:sz w:val="24"/>
          <w:szCs w:val="24"/>
          <w:highlight w:val="none"/>
        </w:rPr>
      </w:pPr>
      <w:r>
        <w:rPr>
          <w:rFonts w:hint="eastAsia" w:asciiTheme="minorEastAsia" w:hAnsiTheme="minorEastAsia"/>
          <w:b/>
          <w:color w:val="auto"/>
          <w:sz w:val="24"/>
          <w:szCs w:val="24"/>
          <w:highlight w:val="none"/>
        </w:rPr>
        <w:t>七、采购信息发布及结果公告网站：</w:t>
      </w:r>
    </w:p>
    <w:p w14:paraId="30A60A11">
      <w:pPr>
        <w:spacing w:line="440" w:lineRule="exact"/>
        <w:ind w:left="540" w:leftChars="257"/>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阳光采购服务平台门户网站（https://www.gzsun.com.cn/）</w:t>
      </w:r>
    </w:p>
    <w:p w14:paraId="4690C42A">
      <w:pPr>
        <w:spacing w:line="440" w:lineRule="exact"/>
        <w:ind w:left="540" w:leftChars="257"/>
        <w:rPr>
          <w:rFonts w:asciiTheme="minorEastAsia" w:hAnsiTheme="minorEastAsia"/>
          <w:color w:val="auto"/>
          <w:sz w:val="24"/>
          <w:szCs w:val="24"/>
          <w:highlight w:val="none"/>
        </w:rPr>
      </w:pPr>
      <w:r>
        <w:rPr>
          <w:rFonts w:asciiTheme="minorEastAsia" w:hAnsiTheme="minorEastAsia"/>
          <w:color w:val="auto"/>
          <w:sz w:val="24"/>
          <w:szCs w:val="24"/>
          <w:highlight w:val="none"/>
        </w:rPr>
        <w:t>广州国企阳光采购信息发布平台（</w:t>
      </w:r>
      <w:r>
        <w:rPr>
          <w:rFonts w:hint="eastAsia" w:asciiTheme="minorEastAsia" w:hAnsiTheme="minorEastAsia"/>
          <w:color w:val="auto"/>
          <w:sz w:val="24"/>
          <w:szCs w:val="24"/>
          <w:highlight w:val="none"/>
        </w:rPr>
        <w:t>http://ygcg.gzggzy.cn/</w:t>
      </w:r>
      <w:r>
        <w:rPr>
          <w:rFonts w:hint="default" w:asciiTheme="minorEastAsia" w:hAnsiTheme="minorEastAsia"/>
          <w:color w:val="auto"/>
          <w:sz w:val="24"/>
          <w:szCs w:val="24"/>
          <w:highlight w:val="none"/>
        </w:rPr>
        <w:t>）</w:t>
      </w:r>
    </w:p>
    <w:p w14:paraId="5F47A8E1">
      <w:pPr>
        <w:spacing w:line="440" w:lineRule="exact"/>
        <w:ind w:left="540" w:leftChars="257"/>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中国招标投标公共服务平台（http://www.cebpubservice.com/）</w:t>
      </w:r>
    </w:p>
    <w:p w14:paraId="292BEF3C">
      <w:pPr>
        <w:spacing w:line="440" w:lineRule="exact"/>
        <w:ind w:left="540" w:leftChars="257"/>
        <w:rPr>
          <w:rFonts w:asciiTheme="minorEastAsia" w:hAnsiTheme="minorEastAsia"/>
          <w:color w:val="auto"/>
          <w:sz w:val="24"/>
          <w:szCs w:val="24"/>
          <w:highlight w:val="none"/>
        </w:rPr>
      </w:pPr>
      <w:r>
        <w:rPr>
          <w:rFonts w:hint="eastAsia" w:asciiTheme="minorEastAsia" w:hAnsiTheme="minorEastAsia"/>
          <w:color w:val="auto"/>
          <w:sz w:val="24"/>
          <w:szCs w:val="24"/>
          <w:highlight w:val="none"/>
          <w:lang w:eastAsia="zh-CN"/>
        </w:rPr>
        <w:t>广州众源建设管理有限公司</w:t>
      </w:r>
      <w:r>
        <w:rPr>
          <w:rFonts w:hint="eastAsia" w:asciiTheme="minorEastAsia" w:hAnsiTheme="minorEastAsia"/>
          <w:color w:val="auto"/>
          <w:sz w:val="24"/>
          <w:szCs w:val="24"/>
          <w:highlight w:val="none"/>
        </w:rPr>
        <w:t>网站（</w:t>
      </w:r>
      <w:r>
        <w:rPr>
          <w:rFonts w:hint="eastAsia" w:asciiTheme="minorEastAsia" w:hAnsiTheme="minorEastAsia"/>
          <w:color w:val="auto"/>
          <w:sz w:val="24"/>
          <w:szCs w:val="24"/>
          <w:highlight w:val="none"/>
          <w:lang w:eastAsia="zh-CN"/>
        </w:rPr>
        <w:t>http://www.gdzhongyuanzx.com</w:t>
      </w:r>
      <w:r>
        <w:rPr>
          <w:rFonts w:hint="eastAsia" w:asciiTheme="minorEastAsia" w:hAnsiTheme="minorEastAsia"/>
          <w:color w:val="auto"/>
          <w:sz w:val="24"/>
          <w:szCs w:val="24"/>
          <w:highlight w:val="none"/>
        </w:rPr>
        <w:t>）</w:t>
      </w:r>
    </w:p>
    <w:p w14:paraId="6F8B1956">
      <w:pPr>
        <w:spacing w:line="440" w:lineRule="exact"/>
        <w:ind w:left="564"/>
        <w:jc w:val="both"/>
        <w:rPr>
          <w:rFonts w:asciiTheme="minorEastAsia" w:hAnsiTheme="minorEastAsia"/>
          <w:b/>
          <w:color w:val="auto"/>
          <w:sz w:val="24"/>
          <w:szCs w:val="24"/>
          <w:highlight w:val="none"/>
        </w:rPr>
      </w:pPr>
      <w:r>
        <w:rPr>
          <w:rFonts w:hint="eastAsia" w:asciiTheme="minorEastAsia" w:hAnsiTheme="minorEastAsia"/>
          <w:b/>
          <w:color w:val="auto"/>
          <w:sz w:val="24"/>
          <w:szCs w:val="24"/>
          <w:highlight w:val="none"/>
        </w:rPr>
        <w:t>八、 采购人、招标代理机构的名称、地址和联系方式：</w:t>
      </w:r>
    </w:p>
    <w:p w14:paraId="32835292">
      <w:pPr>
        <w:spacing w:line="440" w:lineRule="exact"/>
        <w:ind w:firstLine="480" w:firstLineChars="200"/>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（一） 采购人</w:t>
      </w:r>
    </w:p>
    <w:p w14:paraId="0B0285BA">
      <w:pPr>
        <w:spacing w:line="440" w:lineRule="exact"/>
        <w:ind w:left="540" w:leftChars="257"/>
        <w:rPr>
          <w:rFonts w:hint="eastAsia" w:eastAsia="宋体" w:asciiTheme="minorEastAsia" w:hAnsiTheme="minorEastAsia"/>
          <w:color w:val="auto"/>
          <w:sz w:val="24"/>
          <w:szCs w:val="24"/>
          <w:highlight w:val="none"/>
          <w:lang w:eastAsia="zh-CN"/>
        </w:rPr>
      </w:pPr>
      <w:r>
        <w:rPr>
          <w:rFonts w:hint="eastAsia" w:asciiTheme="minorEastAsia" w:hAnsiTheme="minorEastAsia"/>
          <w:color w:val="auto"/>
          <w:sz w:val="24"/>
          <w:szCs w:val="24"/>
          <w:highlight w:val="none"/>
        </w:rPr>
        <w:t>采购人名称：</w:t>
      </w:r>
      <w:r>
        <w:rPr>
          <w:rFonts w:asciiTheme="minorEastAsia" w:hAnsiTheme="minorEastAsia"/>
          <w:color w:val="auto"/>
          <w:sz w:val="24"/>
          <w:szCs w:val="24"/>
          <w:highlight w:val="none"/>
        </w:rPr>
        <w:t xml:space="preserve"> </w:t>
      </w:r>
      <w:r>
        <w:rPr>
          <w:rFonts w:hint="eastAsia" w:asciiTheme="minorEastAsia" w:hAnsiTheme="minorEastAsia"/>
          <w:color w:val="auto"/>
          <w:sz w:val="24"/>
          <w:szCs w:val="24"/>
          <w:highlight w:val="none"/>
          <w:lang w:eastAsia="zh-CN"/>
        </w:rPr>
        <w:t>广州市农科所科技发展有限公司</w:t>
      </w:r>
    </w:p>
    <w:p w14:paraId="73CD925E">
      <w:pPr>
        <w:spacing w:line="440" w:lineRule="exact"/>
        <w:ind w:left="540" w:leftChars="257"/>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采购人地址</w:t>
      </w:r>
      <w:r>
        <w:rPr>
          <w:rFonts w:hint="eastAsia" w:ascii="宋体" w:hAnsi="宋体" w:cs="Tahoma"/>
          <w:color w:val="auto"/>
          <w:sz w:val="24"/>
          <w:szCs w:val="24"/>
          <w:highlight w:val="none"/>
        </w:rPr>
        <w:t>：</w:t>
      </w:r>
      <w:r>
        <w:rPr>
          <w:rFonts w:hint="eastAsia" w:ascii="宋体" w:hAnsi="宋体"/>
          <w:color w:val="auto"/>
          <w:sz w:val="24"/>
          <w:szCs w:val="24"/>
          <w:highlight w:val="none"/>
          <w:lang w:eastAsia="zh-CN"/>
        </w:rPr>
        <w:t>广州市海珠区琶洲大道17号之3</w:t>
      </w:r>
    </w:p>
    <w:p w14:paraId="75275160">
      <w:pPr>
        <w:spacing w:line="440" w:lineRule="exact"/>
        <w:ind w:left="540" w:leftChars="257"/>
        <w:rPr>
          <w:rFonts w:hint="default" w:ascii="宋体" w:hAnsi="宋体" w:eastAsia="宋体" w:cs="Tahoma"/>
          <w:color w:val="auto"/>
          <w:sz w:val="24"/>
          <w:szCs w:val="24"/>
          <w:highlight w:val="none"/>
          <w:lang w:val="en-US" w:eastAsia="zh-CN"/>
        </w:rPr>
      </w:pPr>
      <w:r>
        <w:rPr>
          <w:rFonts w:hint="eastAsia" w:ascii="宋体" w:hAnsi="宋体" w:cs="Tahoma"/>
          <w:color w:val="auto"/>
          <w:sz w:val="24"/>
          <w:szCs w:val="24"/>
          <w:highlight w:val="none"/>
        </w:rPr>
        <w:t>联 系 人：</w:t>
      </w:r>
      <w:r>
        <w:rPr>
          <w:rFonts w:hint="eastAsia" w:ascii="宋体" w:hAnsi="宋体" w:cs="Tahoma"/>
          <w:color w:val="auto"/>
          <w:sz w:val="24"/>
          <w:szCs w:val="24"/>
          <w:highlight w:val="none"/>
          <w:lang w:val="en-US" w:eastAsia="zh-CN"/>
        </w:rPr>
        <w:t>程经理</w:t>
      </w:r>
    </w:p>
    <w:p w14:paraId="3F2BE34A">
      <w:pPr>
        <w:spacing w:line="440" w:lineRule="exact"/>
        <w:ind w:left="540" w:leftChars="257"/>
        <w:rPr>
          <w:rFonts w:hint="eastAsia" w:ascii="宋体" w:hAnsi="宋体" w:eastAsia="宋体" w:cs="Tahoma"/>
          <w:color w:val="auto"/>
          <w:sz w:val="24"/>
          <w:szCs w:val="24"/>
          <w:highlight w:val="none"/>
          <w:lang w:val="en-US" w:eastAsia="zh-CN"/>
        </w:rPr>
      </w:pPr>
      <w:r>
        <w:rPr>
          <w:rFonts w:hint="eastAsia" w:ascii="宋体" w:hAnsi="宋体" w:cs="Tahoma"/>
          <w:color w:val="auto"/>
          <w:sz w:val="24"/>
          <w:szCs w:val="24"/>
          <w:highlight w:val="none"/>
        </w:rPr>
        <w:t>联系电话：</w:t>
      </w:r>
      <w:r>
        <w:rPr>
          <w:rFonts w:hint="eastAsia" w:ascii="宋体" w:hAnsi="宋体" w:cs="Tahoma"/>
          <w:color w:val="auto"/>
          <w:sz w:val="24"/>
          <w:szCs w:val="24"/>
          <w:highlight w:val="none"/>
          <w:lang w:val="en-US" w:eastAsia="zh-CN"/>
        </w:rPr>
        <w:t>020-84209971</w:t>
      </w:r>
    </w:p>
    <w:p w14:paraId="7EDC8166">
      <w:pPr>
        <w:spacing w:line="440" w:lineRule="exact"/>
        <w:ind w:left="540" w:leftChars="257"/>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（二）招标代理机构</w:t>
      </w:r>
    </w:p>
    <w:p w14:paraId="25799348">
      <w:pPr>
        <w:spacing w:line="360" w:lineRule="auto"/>
        <w:ind w:firstLine="494" w:firstLineChars="206"/>
        <w:rPr>
          <w:rFonts w:hint="eastAsia" w:eastAsia="宋体" w:asciiTheme="minorEastAsia" w:hAnsiTheme="minorEastAsia"/>
          <w:color w:val="auto"/>
          <w:sz w:val="24"/>
          <w:szCs w:val="24"/>
          <w:highlight w:val="none"/>
          <w:lang w:eastAsia="zh-CN"/>
        </w:rPr>
      </w:pPr>
      <w:r>
        <w:rPr>
          <w:rFonts w:hint="eastAsia" w:asciiTheme="minorEastAsia" w:hAnsiTheme="minorEastAsia"/>
          <w:color w:val="auto"/>
          <w:sz w:val="24"/>
          <w:szCs w:val="24"/>
          <w:highlight w:val="none"/>
        </w:rPr>
        <w:t>招标代理机构名称：</w:t>
      </w:r>
      <w:r>
        <w:rPr>
          <w:rFonts w:hint="eastAsia" w:asciiTheme="minorEastAsia" w:hAnsiTheme="minorEastAsia"/>
          <w:color w:val="auto"/>
          <w:sz w:val="24"/>
          <w:szCs w:val="24"/>
          <w:highlight w:val="none"/>
          <w:lang w:eastAsia="zh-CN"/>
        </w:rPr>
        <w:t>广州众源建设管理有限公司</w:t>
      </w:r>
    </w:p>
    <w:p w14:paraId="1418167C">
      <w:pPr>
        <w:spacing w:line="360" w:lineRule="auto"/>
        <w:ind w:firstLine="494" w:firstLineChars="206"/>
        <w:rPr>
          <w:rFonts w:hint="eastAsia" w:eastAsia="宋体" w:asciiTheme="minorEastAsia" w:hAnsiTheme="minorEastAsia"/>
          <w:color w:val="auto"/>
          <w:sz w:val="24"/>
          <w:szCs w:val="24"/>
          <w:highlight w:val="none"/>
          <w:lang w:eastAsia="zh-CN"/>
        </w:rPr>
      </w:pPr>
      <w:r>
        <w:rPr>
          <w:rFonts w:hint="eastAsia" w:asciiTheme="minorEastAsia" w:hAnsiTheme="minorEastAsia"/>
          <w:color w:val="auto"/>
          <w:sz w:val="24"/>
          <w:szCs w:val="24"/>
          <w:highlight w:val="none"/>
        </w:rPr>
        <w:t>招标代理机构地址：</w:t>
      </w:r>
      <w:r>
        <w:rPr>
          <w:rFonts w:hint="eastAsia" w:ascii="宋体" w:hAnsi="宋体"/>
          <w:color w:val="auto"/>
          <w:sz w:val="24"/>
          <w:szCs w:val="24"/>
          <w:highlight w:val="none"/>
          <w:lang w:eastAsia="zh-CN"/>
        </w:rPr>
        <w:t>广州市越秀区华乐路53号522房</w:t>
      </w:r>
    </w:p>
    <w:p w14:paraId="04D48A85">
      <w:pPr>
        <w:spacing w:line="360" w:lineRule="auto"/>
        <w:ind w:firstLine="494" w:firstLineChars="206"/>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招标代理机构联系人：</w:t>
      </w:r>
      <w:r>
        <w:rPr>
          <w:rFonts w:hint="eastAsia" w:asciiTheme="minorEastAsia" w:hAnsiTheme="minorEastAsia"/>
          <w:color w:val="auto"/>
          <w:sz w:val="24"/>
          <w:szCs w:val="24"/>
          <w:highlight w:val="none"/>
          <w:lang w:eastAsia="zh-CN"/>
        </w:rPr>
        <w:t>凌小姐</w:t>
      </w:r>
    </w:p>
    <w:p w14:paraId="5FF00F3F">
      <w:pPr>
        <w:spacing w:line="360" w:lineRule="auto"/>
        <w:ind w:firstLine="494" w:firstLineChars="206"/>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招标代理机构联系电话：020-83572822</w:t>
      </w:r>
    </w:p>
    <w:p w14:paraId="6D43ED33">
      <w:pPr>
        <w:spacing w:line="440" w:lineRule="exact"/>
        <w:ind w:left="540" w:leftChars="257" w:right="960"/>
        <w:jc w:val="righ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 xml:space="preserve"> </w:t>
      </w:r>
    </w:p>
    <w:p w14:paraId="1BF72454">
      <w:pPr>
        <w:spacing w:line="440" w:lineRule="exact"/>
        <w:ind w:left="540" w:leftChars="257" w:right="960"/>
        <w:jc w:val="right"/>
        <w:rPr>
          <w:rFonts w:hint="eastAsia" w:eastAsia="宋体" w:asciiTheme="minorEastAsia" w:hAnsiTheme="minorEastAsia"/>
          <w:color w:val="auto"/>
          <w:sz w:val="24"/>
          <w:szCs w:val="24"/>
          <w:highlight w:val="none"/>
          <w:lang w:eastAsia="zh-CN"/>
        </w:rPr>
      </w:pPr>
      <w:r>
        <w:rPr>
          <w:rFonts w:hint="eastAsia" w:asciiTheme="minorEastAsia" w:hAnsiTheme="minorEastAsia"/>
          <w:color w:val="auto"/>
          <w:sz w:val="24"/>
          <w:szCs w:val="24"/>
          <w:highlight w:val="none"/>
        </w:rPr>
        <w:t>采购人：</w:t>
      </w:r>
      <w:r>
        <w:rPr>
          <w:rFonts w:hint="eastAsia" w:asciiTheme="minorEastAsia" w:hAnsiTheme="minorEastAsia"/>
          <w:color w:val="auto"/>
          <w:sz w:val="24"/>
          <w:szCs w:val="24"/>
          <w:highlight w:val="none"/>
          <w:lang w:eastAsia="zh-CN"/>
        </w:rPr>
        <w:t>广州市农科所科技发展有限公司</w:t>
      </w:r>
    </w:p>
    <w:p w14:paraId="1DC74F95">
      <w:pPr>
        <w:wordWrap w:val="0"/>
        <w:spacing w:line="440" w:lineRule="exact"/>
        <w:ind w:right="960"/>
        <w:jc w:val="right"/>
        <w:rPr>
          <w:rFonts w:hint="eastAsia" w:eastAsia="宋体" w:asciiTheme="minorEastAsia" w:hAnsiTheme="minorEastAsia"/>
          <w:color w:val="auto"/>
          <w:sz w:val="24"/>
          <w:szCs w:val="24"/>
          <w:highlight w:val="none"/>
          <w:lang w:eastAsia="zh-CN"/>
        </w:rPr>
      </w:pPr>
      <w:r>
        <w:rPr>
          <w:rFonts w:hint="eastAsia" w:asciiTheme="minorEastAsia" w:hAnsiTheme="minorEastAsia"/>
          <w:color w:val="auto"/>
          <w:sz w:val="24"/>
          <w:szCs w:val="24"/>
          <w:highlight w:val="none"/>
        </w:rPr>
        <w:t>招标代理机构：</w:t>
      </w:r>
      <w:r>
        <w:rPr>
          <w:rFonts w:hint="eastAsia" w:asciiTheme="minorEastAsia" w:hAnsiTheme="minorEastAsia"/>
          <w:color w:val="auto"/>
          <w:sz w:val="24"/>
          <w:szCs w:val="24"/>
          <w:highlight w:val="none"/>
          <w:lang w:eastAsia="zh-CN"/>
        </w:rPr>
        <w:t>广州众源建设管理有限公司</w:t>
      </w:r>
    </w:p>
    <w:p w14:paraId="0F8CB6EE">
      <w:pPr>
        <w:spacing w:line="440" w:lineRule="exact"/>
        <w:ind w:right="960"/>
        <w:jc w:val="right"/>
        <w:rPr>
          <w:rFonts w:asciiTheme="minorEastAsia" w:hAnsiTheme="minorEastAsia" w:eastAsiaTheme="minorEastAsia"/>
          <w:color w:val="auto"/>
          <w:sz w:val="24"/>
          <w:highlight w:val="none"/>
        </w:rPr>
      </w:pPr>
      <w:r>
        <w:rPr>
          <w:rFonts w:hint="eastAsia" w:asciiTheme="minorEastAsia" w:hAnsiTheme="minorEastAsia"/>
          <w:color w:val="auto"/>
          <w:sz w:val="24"/>
          <w:szCs w:val="24"/>
          <w:highlight w:val="none"/>
        </w:rPr>
        <w:t>日期：202</w:t>
      </w:r>
      <w:r>
        <w:rPr>
          <w:rFonts w:hint="eastAsia" w:asciiTheme="minorEastAsia" w:hAnsiTheme="minorEastAsia"/>
          <w:color w:val="auto"/>
          <w:sz w:val="24"/>
          <w:szCs w:val="24"/>
          <w:highlight w:val="none"/>
          <w:lang w:val="en-US" w:eastAsia="zh-CN"/>
        </w:rPr>
        <w:t>5</w:t>
      </w:r>
      <w:r>
        <w:rPr>
          <w:rFonts w:hint="eastAsia" w:asciiTheme="minorEastAsia" w:hAnsiTheme="minorEastAsia"/>
          <w:color w:val="auto"/>
          <w:sz w:val="24"/>
          <w:szCs w:val="24"/>
          <w:highlight w:val="none"/>
        </w:rPr>
        <w:t>年</w:t>
      </w:r>
      <w:r>
        <w:rPr>
          <w:rFonts w:hint="eastAsia" w:asciiTheme="minorEastAsia" w:hAnsiTheme="minorEastAsia"/>
          <w:color w:val="auto"/>
          <w:sz w:val="24"/>
          <w:szCs w:val="24"/>
          <w:highlight w:val="none"/>
          <w:lang w:val="en-US" w:eastAsia="zh-CN"/>
        </w:rPr>
        <w:t>6</w:t>
      </w:r>
      <w:r>
        <w:rPr>
          <w:rFonts w:hint="eastAsia" w:asciiTheme="minorEastAsia" w:hAnsiTheme="minorEastAsia"/>
          <w:color w:val="auto"/>
          <w:sz w:val="24"/>
          <w:szCs w:val="24"/>
          <w:highlight w:val="none"/>
        </w:rPr>
        <w:t>月</w:t>
      </w:r>
      <w:r>
        <w:rPr>
          <w:rFonts w:hint="eastAsia" w:asciiTheme="minorEastAsia" w:hAnsiTheme="minorEastAsia"/>
          <w:color w:val="auto"/>
          <w:sz w:val="24"/>
          <w:szCs w:val="24"/>
          <w:highlight w:val="none"/>
          <w:lang w:val="en-US" w:eastAsia="zh-CN"/>
        </w:rPr>
        <w:t>20</w:t>
      </w:r>
      <w:r>
        <w:rPr>
          <w:rFonts w:hint="eastAsia" w:asciiTheme="minorEastAsia" w:hAnsiTheme="minorEastAsia"/>
          <w:color w:val="auto"/>
          <w:sz w:val="24"/>
          <w:szCs w:val="24"/>
          <w:highlight w:val="none"/>
        </w:rPr>
        <w:t>日</w:t>
      </w:r>
      <w:r>
        <w:rPr>
          <w:rFonts w:asciiTheme="minorEastAsia" w:hAnsiTheme="minorEastAsia" w:eastAsiaTheme="minorEastAsia"/>
          <w:color w:val="auto"/>
          <w:sz w:val="24"/>
          <w:highlight w:val="none"/>
        </w:rPr>
        <w:br w:type="page"/>
      </w:r>
    </w:p>
    <w:p w14:paraId="44BBF4E3">
      <w:pPr>
        <w:pStyle w:val="4"/>
        <w:spacing w:before="200" w:after="200" w:line="360" w:lineRule="auto"/>
        <w:jc w:val="center"/>
        <w:rPr>
          <w:rFonts w:asciiTheme="minorEastAsia" w:hAnsiTheme="minorEastAsia" w:eastAsiaTheme="minorEastAsia"/>
          <w:color w:val="auto"/>
          <w:sz w:val="30"/>
          <w:szCs w:val="30"/>
          <w:highlight w:val="none"/>
        </w:rPr>
      </w:pPr>
      <w:bookmarkStart w:id="23" w:name="_Toc41884682"/>
      <w:bookmarkStart w:id="24" w:name="_Toc46308523"/>
      <w:bookmarkStart w:id="25" w:name="_Toc28433"/>
      <w:bookmarkStart w:id="26" w:name="_Toc101843108"/>
      <w:bookmarkStart w:id="27" w:name="_Toc17734"/>
      <w:bookmarkStart w:id="28" w:name="_Toc22295578"/>
      <w:bookmarkStart w:id="29" w:name="_Toc5778"/>
      <w:bookmarkStart w:id="30" w:name="_Toc98578991"/>
      <w:bookmarkStart w:id="31" w:name="_Toc98579590"/>
      <w:bookmarkStart w:id="32" w:name="_Toc42394652"/>
      <w:bookmarkStart w:id="33" w:name="_Toc101771355"/>
      <w:bookmarkStart w:id="34" w:name="_Toc41723912"/>
      <w:bookmarkStart w:id="35" w:name="_Toc98035084"/>
      <w:bookmarkStart w:id="36" w:name="_Toc98579049"/>
      <w:bookmarkStart w:id="37" w:name="_Toc46308679"/>
      <w:bookmarkStart w:id="38" w:name="_Toc101775108"/>
      <w:bookmarkStart w:id="39" w:name="_Toc175644385"/>
      <w:bookmarkStart w:id="40" w:name="_Toc30095"/>
      <w:bookmarkStart w:id="41" w:name="_Toc42313150"/>
      <w:bookmarkStart w:id="42" w:name="_Toc42394495"/>
      <w:bookmarkStart w:id="43" w:name="_Toc101951241"/>
      <w:bookmarkStart w:id="44" w:name="_Toc98580273"/>
      <w:r>
        <w:rPr>
          <w:rFonts w:hint="eastAsia" w:asciiTheme="minorEastAsia" w:hAnsiTheme="minorEastAsia" w:eastAsiaTheme="minorEastAsia"/>
          <w:color w:val="auto"/>
          <w:sz w:val="30"/>
          <w:szCs w:val="30"/>
          <w:highlight w:val="none"/>
        </w:rPr>
        <w:t>第一章 投标人须知</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2EB978D">
      <w:pPr>
        <w:spacing w:after="193" w:afterLines="5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投标人必须认真阅读采购文件中所有的事项、格式、条款和</w:t>
      </w:r>
      <w:r>
        <w:rPr>
          <w:rFonts w:hint="eastAsia" w:ascii="宋体" w:hAnsi="宋体" w:cs="宋体"/>
          <w:color w:val="auto"/>
          <w:sz w:val="24"/>
          <w:szCs w:val="24"/>
          <w:highlight w:val="none"/>
          <w:lang w:eastAsia="zh-CN"/>
        </w:rPr>
        <w:t>招标人需求</w:t>
      </w:r>
      <w:r>
        <w:rPr>
          <w:rFonts w:hint="eastAsia" w:ascii="宋体" w:hAnsi="宋体" w:cs="宋体"/>
          <w:color w:val="auto"/>
          <w:sz w:val="24"/>
          <w:szCs w:val="24"/>
          <w:highlight w:val="none"/>
        </w:rPr>
        <w:t>等。投标人没有按照采购文件要求提交全部资料，或者投标文件没有对采购文件在各方面都做出实质性响应，是投标人的风险，并可能导致其投标无效或被拒绝。</w:t>
      </w:r>
    </w:p>
    <w:p w14:paraId="28F672D8">
      <w:pPr>
        <w:pStyle w:val="5"/>
        <w:numPr>
          <w:ilvl w:val="0"/>
          <w:numId w:val="4"/>
        </w:numPr>
        <w:ind w:left="567" w:hanging="27"/>
        <w:jc w:val="left"/>
        <w:rPr>
          <w:rFonts w:hAnsi="宋体"/>
          <w:b/>
          <w:color w:val="auto"/>
          <w:sz w:val="24"/>
          <w:szCs w:val="24"/>
          <w:highlight w:val="none"/>
        </w:rPr>
      </w:pPr>
      <w:bookmarkStart w:id="45" w:name="_Toc32219"/>
      <w:bookmarkStart w:id="46" w:name="_Toc2045"/>
      <w:bookmarkStart w:id="47" w:name="_Toc18418"/>
      <w:bookmarkStart w:id="48" w:name="_Toc4766"/>
      <w:bookmarkStart w:id="49" w:name="_Toc30618"/>
      <w:bookmarkStart w:id="50" w:name="_Toc22295579"/>
      <w:bookmarkStart w:id="51" w:name="_Toc175644386"/>
      <w:r>
        <w:rPr>
          <w:rFonts w:hint="eastAsia" w:hAnsi="宋体"/>
          <w:b/>
          <w:color w:val="auto"/>
          <w:sz w:val="24"/>
          <w:szCs w:val="24"/>
          <w:highlight w:val="none"/>
        </w:rPr>
        <w:t>说明</w:t>
      </w:r>
      <w:bookmarkEnd w:id="45"/>
      <w:bookmarkEnd w:id="46"/>
      <w:bookmarkEnd w:id="47"/>
      <w:bookmarkEnd w:id="48"/>
      <w:bookmarkEnd w:id="49"/>
      <w:bookmarkEnd w:id="50"/>
    </w:p>
    <w:p w14:paraId="2A08D083">
      <w:pPr>
        <w:pStyle w:val="6"/>
        <w:numPr>
          <w:ilvl w:val="1"/>
          <w:numId w:val="4"/>
        </w:numPr>
        <w:tabs>
          <w:tab w:val="clear" w:pos="851"/>
        </w:tabs>
        <w:ind w:left="0" w:firstLine="426"/>
        <w:rPr>
          <w:rFonts w:hAnsi="宋体" w:cs="宋体"/>
          <w:color w:val="auto"/>
          <w:sz w:val="24"/>
          <w:szCs w:val="24"/>
          <w:highlight w:val="none"/>
        </w:rPr>
      </w:pPr>
      <w:r>
        <w:rPr>
          <w:rFonts w:hint="eastAsia" w:hAnsi="宋体" w:cs="宋体"/>
          <w:color w:val="auto"/>
          <w:sz w:val="24"/>
          <w:szCs w:val="24"/>
          <w:highlight w:val="none"/>
        </w:rPr>
        <w:t>参考《中华人民共和国招标投标法》</w:t>
      </w:r>
      <w:r>
        <w:rPr>
          <w:rFonts w:hint="eastAsia" w:asciiTheme="minorEastAsia" w:hAnsiTheme="minorEastAsia" w:eastAsiaTheme="minorEastAsia"/>
          <w:color w:val="auto"/>
          <w:sz w:val="24"/>
          <w:szCs w:val="24"/>
          <w:highlight w:val="none"/>
        </w:rPr>
        <w:t>及国家和地方政府有关招标投标法规的</w:t>
      </w:r>
      <w:r>
        <w:rPr>
          <w:rFonts w:hint="eastAsia" w:hAnsi="宋体" w:cs="宋体"/>
          <w:color w:val="auto"/>
          <w:sz w:val="24"/>
          <w:szCs w:val="24"/>
          <w:highlight w:val="none"/>
        </w:rPr>
        <w:t>有关规定制定本须知。</w:t>
      </w:r>
    </w:p>
    <w:p w14:paraId="0305B8A7">
      <w:pPr>
        <w:pStyle w:val="6"/>
        <w:numPr>
          <w:ilvl w:val="1"/>
          <w:numId w:val="4"/>
        </w:numPr>
        <w:tabs>
          <w:tab w:val="clear" w:pos="851"/>
        </w:tabs>
        <w:ind w:left="0" w:firstLine="426"/>
        <w:rPr>
          <w:rFonts w:hAnsi="宋体" w:cs="宋体"/>
          <w:color w:val="auto"/>
          <w:sz w:val="24"/>
          <w:szCs w:val="24"/>
          <w:highlight w:val="none"/>
        </w:rPr>
      </w:pPr>
      <w:r>
        <w:rPr>
          <w:rFonts w:hint="eastAsia" w:hAnsi="宋体" w:cs="宋体"/>
          <w:color w:val="auto"/>
          <w:sz w:val="24"/>
          <w:szCs w:val="24"/>
          <w:highlight w:val="none"/>
        </w:rPr>
        <w:t>本项目的采购人、招标代理机构、投标人及各方当事人适用本须知。</w:t>
      </w:r>
    </w:p>
    <w:p w14:paraId="6B92C449">
      <w:pPr>
        <w:pStyle w:val="5"/>
        <w:numPr>
          <w:ilvl w:val="0"/>
          <w:numId w:val="4"/>
        </w:numPr>
        <w:ind w:left="567" w:hanging="27"/>
        <w:jc w:val="left"/>
        <w:rPr>
          <w:rFonts w:hAnsi="宋体"/>
          <w:b/>
          <w:color w:val="auto"/>
          <w:sz w:val="24"/>
          <w:szCs w:val="24"/>
          <w:highlight w:val="none"/>
        </w:rPr>
      </w:pPr>
      <w:bookmarkStart w:id="52" w:name="_Toc21322"/>
      <w:bookmarkStart w:id="53" w:name="_Toc12662"/>
      <w:bookmarkStart w:id="54" w:name="_Toc29992"/>
      <w:bookmarkStart w:id="55" w:name="_Toc7292"/>
      <w:bookmarkStart w:id="56" w:name="_Toc22295580"/>
      <w:bookmarkStart w:id="57" w:name="_Toc507"/>
      <w:r>
        <w:rPr>
          <w:rFonts w:hint="eastAsia" w:hAnsi="宋体"/>
          <w:b/>
          <w:color w:val="auto"/>
          <w:sz w:val="24"/>
          <w:szCs w:val="24"/>
          <w:highlight w:val="none"/>
        </w:rPr>
        <w:t>定义</w:t>
      </w:r>
      <w:bookmarkEnd w:id="52"/>
      <w:bookmarkEnd w:id="53"/>
      <w:bookmarkEnd w:id="54"/>
      <w:bookmarkEnd w:id="55"/>
      <w:bookmarkEnd w:id="56"/>
      <w:bookmarkEnd w:id="57"/>
    </w:p>
    <w:p w14:paraId="7AA7AD69">
      <w:pPr>
        <w:pStyle w:val="6"/>
        <w:numPr>
          <w:ilvl w:val="1"/>
          <w:numId w:val="4"/>
        </w:numPr>
        <w:tabs>
          <w:tab w:val="clear" w:pos="851"/>
        </w:tabs>
        <w:ind w:left="0" w:firstLine="426"/>
        <w:rPr>
          <w:rFonts w:hAnsi="宋体" w:cs="宋体"/>
          <w:color w:val="auto"/>
          <w:sz w:val="24"/>
          <w:szCs w:val="24"/>
          <w:highlight w:val="none"/>
        </w:rPr>
      </w:pPr>
      <w:r>
        <w:rPr>
          <w:rFonts w:hint="eastAsia" w:hAnsi="宋体" w:cs="宋体"/>
          <w:color w:val="auto"/>
          <w:sz w:val="24"/>
          <w:szCs w:val="24"/>
          <w:highlight w:val="none"/>
        </w:rPr>
        <w:t>“ 采购人”：是指</w:t>
      </w:r>
      <w:r>
        <w:rPr>
          <w:rFonts w:hint="eastAsia" w:hAnsi="宋体" w:cs="宋体"/>
          <w:color w:val="auto"/>
          <w:sz w:val="24"/>
          <w:szCs w:val="24"/>
          <w:highlight w:val="none"/>
          <w:lang w:val="en-GB" w:eastAsia="zh-CN"/>
        </w:rPr>
        <w:t>广州市农科所科技发展有限公司</w:t>
      </w:r>
      <w:r>
        <w:rPr>
          <w:rFonts w:hint="eastAsia" w:hAnsi="宋体" w:cs="宋体"/>
          <w:color w:val="auto"/>
          <w:sz w:val="24"/>
          <w:szCs w:val="24"/>
          <w:highlight w:val="none"/>
          <w:lang w:val="en-GB"/>
        </w:rPr>
        <w:t>，</w:t>
      </w:r>
      <w:r>
        <w:rPr>
          <w:rFonts w:hint="eastAsia" w:hAnsi="宋体" w:cs="宋体"/>
          <w:color w:val="auto"/>
          <w:sz w:val="24"/>
          <w:szCs w:val="24"/>
          <w:highlight w:val="none"/>
        </w:rPr>
        <w:t>本次招标采购项目的最终服务对象。</w:t>
      </w:r>
    </w:p>
    <w:p w14:paraId="3EEBC15A">
      <w:pPr>
        <w:pStyle w:val="6"/>
        <w:numPr>
          <w:ilvl w:val="1"/>
          <w:numId w:val="4"/>
        </w:numPr>
        <w:tabs>
          <w:tab w:val="clear" w:pos="851"/>
        </w:tabs>
        <w:ind w:left="0" w:firstLine="424" w:firstLineChars="177"/>
        <w:rPr>
          <w:rFonts w:hAnsi="宋体" w:cs="宋体"/>
          <w:color w:val="auto"/>
          <w:sz w:val="24"/>
          <w:szCs w:val="24"/>
          <w:highlight w:val="none"/>
        </w:rPr>
      </w:pPr>
      <w:r>
        <w:rPr>
          <w:rFonts w:hint="eastAsia" w:hAnsi="宋体" w:cs="宋体"/>
          <w:color w:val="auto"/>
          <w:sz w:val="24"/>
          <w:szCs w:val="24"/>
          <w:highlight w:val="none"/>
        </w:rPr>
        <w:t>“招标代理机构”：是指</w:t>
      </w:r>
      <w:r>
        <w:rPr>
          <w:rFonts w:hint="eastAsia" w:asciiTheme="minorEastAsia" w:hAnsiTheme="minorEastAsia"/>
          <w:color w:val="auto"/>
          <w:sz w:val="24"/>
          <w:szCs w:val="24"/>
          <w:highlight w:val="none"/>
          <w:lang w:eastAsia="zh-CN"/>
        </w:rPr>
        <w:t>广州众源建设管理有限公司</w:t>
      </w:r>
      <w:r>
        <w:rPr>
          <w:rFonts w:hint="eastAsia" w:hAnsi="宋体" w:cs="宋体"/>
          <w:color w:val="auto"/>
          <w:sz w:val="24"/>
          <w:szCs w:val="24"/>
          <w:highlight w:val="none"/>
        </w:rPr>
        <w:t>，负责整个采购活动的组织，依法负责编制和发布采购文件，对采购文件拥有最终的解释权，不以任何身份出任评标委员会成员。</w:t>
      </w:r>
    </w:p>
    <w:p w14:paraId="7A0FADF6">
      <w:pPr>
        <w:pStyle w:val="6"/>
        <w:numPr>
          <w:ilvl w:val="1"/>
          <w:numId w:val="4"/>
        </w:numPr>
        <w:tabs>
          <w:tab w:val="clear" w:pos="851"/>
        </w:tabs>
        <w:ind w:left="0" w:firstLine="424" w:firstLineChars="177"/>
        <w:rPr>
          <w:rFonts w:hAnsi="宋体" w:cs="宋体"/>
          <w:color w:val="auto"/>
          <w:sz w:val="24"/>
          <w:szCs w:val="24"/>
          <w:highlight w:val="none"/>
        </w:rPr>
      </w:pPr>
      <w:r>
        <w:rPr>
          <w:rFonts w:hint="eastAsia" w:hAnsi="宋体" w:cs="宋体"/>
          <w:color w:val="auto"/>
          <w:sz w:val="24"/>
          <w:szCs w:val="24"/>
          <w:highlight w:val="none"/>
        </w:rPr>
        <w:t>合格的投标人：符合采购文件规定的资格要求及特殊条件要求的法人或其他组织。</w:t>
      </w:r>
    </w:p>
    <w:p w14:paraId="174A08AC">
      <w:pPr>
        <w:pStyle w:val="6"/>
        <w:numPr>
          <w:ilvl w:val="1"/>
          <w:numId w:val="4"/>
        </w:numPr>
        <w:tabs>
          <w:tab w:val="clear" w:pos="851"/>
        </w:tabs>
        <w:rPr>
          <w:rFonts w:hAnsi="宋体" w:cs="宋体"/>
          <w:color w:val="auto"/>
          <w:sz w:val="24"/>
          <w:szCs w:val="24"/>
          <w:highlight w:val="none"/>
        </w:rPr>
      </w:pPr>
      <w:r>
        <w:rPr>
          <w:rFonts w:hint="eastAsia" w:hAnsi="宋体" w:cs="宋体"/>
          <w:color w:val="auto"/>
          <w:sz w:val="24"/>
          <w:szCs w:val="24"/>
          <w:highlight w:val="none"/>
        </w:rPr>
        <w:t>“中标人”：是指经法定程序确定并授予合同的投标人。</w:t>
      </w:r>
    </w:p>
    <w:p w14:paraId="4BC7CB5A">
      <w:pPr>
        <w:pStyle w:val="6"/>
        <w:numPr>
          <w:ilvl w:val="1"/>
          <w:numId w:val="4"/>
        </w:numPr>
        <w:tabs>
          <w:tab w:val="clear" w:pos="851"/>
        </w:tabs>
        <w:rPr>
          <w:rFonts w:hAnsi="宋体" w:cs="宋体"/>
          <w:color w:val="auto"/>
          <w:sz w:val="24"/>
          <w:szCs w:val="24"/>
          <w:highlight w:val="none"/>
        </w:rPr>
      </w:pPr>
      <w:r>
        <w:rPr>
          <w:rFonts w:hint="eastAsia" w:hAnsi="宋体" w:cs="宋体"/>
          <w:color w:val="auto"/>
          <w:sz w:val="24"/>
          <w:szCs w:val="24"/>
          <w:highlight w:val="none"/>
        </w:rPr>
        <w:t>“合同”：是指由采购人和中标人签订的规定双方权利和义务的协议。</w:t>
      </w:r>
    </w:p>
    <w:p w14:paraId="016BA6B8">
      <w:pPr>
        <w:pStyle w:val="6"/>
        <w:numPr>
          <w:ilvl w:val="1"/>
          <w:numId w:val="4"/>
        </w:numPr>
        <w:tabs>
          <w:tab w:val="clear" w:pos="851"/>
        </w:tabs>
        <w:rPr>
          <w:rFonts w:hAnsi="宋体" w:cs="宋体"/>
          <w:color w:val="auto"/>
          <w:sz w:val="24"/>
          <w:szCs w:val="24"/>
          <w:highlight w:val="none"/>
        </w:rPr>
      </w:pPr>
      <w:r>
        <w:rPr>
          <w:rFonts w:hint="eastAsia" w:hAnsi="宋体" w:cs="宋体"/>
          <w:color w:val="auto"/>
          <w:sz w:val="24"/>
          <w:szCs w:val="24"/>
          <w:highlight w:val="none"/>
        </w:rPr>
        <w:t>“日”、“天”系指公历日。</w:t>
      </w:r>
    </w:p>
    <w:p w14:paraId="7F6DBD22">
      <w:pPr>
        <w:pStyle w:val="164"/>
        <w:numPr>
          <w:ilvl w:val="1"/>
          <w:numId w:val="4"/>
        </w:numPr>
        <w:spacing w:line="360" w:lineRule="auto"/>
        <w:ind w:firstLineChars="0"/>
        <w:rPr>
          <w:rFonts w:ascii="宋体" w:hAnsi="宋体" w:cs="宋体"/>
          <w:color w:val="auto"/>
          <w:sz w:val="24"/>
          <w:szCs w:val="24"/>
          <w:highlight w:val="none"/>
        </w:rPr>
      </w:pPr>
      <w:r>
        <w:rPr>
          <w:rFonts w:hint="eastAsia" w:ascii="宋体" w:hAnsi="宋体" w:cs="宋体"/>
          <w:color w:val="auto"/>
          <w:sz w:val="24"/>
          <w:szCs w:val="24"/>
          <w:highlight w:val="none"/>
        </w:rPr>
        <w:t>采购文件：是指包括招标公告和采购文件及其补充、变更和澄清等一系列文件。</w:t>
      </w:r>
    </w:p>
    <w:p w14:paraId="180D9FB0">
      <w:pPr>
        <w:pStyle w:val="6"/>
        <w:numPr>
          <w:ilvl w:val="1"/>
          <w:numId w:val="4"/>
        </w:numPr>
        <w:tabs>
          <w:tab w:val="clear" w:pos="851"/>
        </w:tabs>
        <w:rPr>
          <w:rFonts w:hAnsi="宋体" w:cs="宋体"/>
          <w:color w:val="auto"/>
          <w:sz w:val="24"/>
          <w:szCs w:val="24"/>
          <w:highlight w:val="none"/>
        </w:rPr>
      </w:pPr>
      <w:r>
        <w:rPr>
          <w:rFonts w:hint="eastAsia" w:hAnsi="宋体" w:cs="宋体"/>
          <w:color w:val="auto"/>
          <w:sz w:val="24"/>
          <w:szCs w:val="24"/>
          <w:highlight w:val="none"/>
        </w:rPr>
        <w:t>合格的货物和服务</w:t>
      </w:r>
    </w:p>
    <w:p w14:paraId="26BBDB5E">
      <w:pPr>
        <w:spacing w:line="360" w:lineRule="auto"/>
        <w:ind w:firstLine="420" w:firstLineChars="200"/>
        <w:rPr>
          <w:rFonts w:hAnsi="宋体" w:cs="宋体"/>
          <w:color w:val="auto"/>
          <w:highlight w:val="none"/>
        </w:rPr>
      </w:pPr>
      <w:r>
        <w:rPr>
          <w:rFonts w:hint="eastAsia" w:hAnsi="宋体" w:cs="宋体"/>
          <w:color w:val="auto"/>
          <w:highlight w:val="none"/>
        </w:rPr>
        <w:t xml:space="preserve"> </w:t>
      </w:r>
      <w:r>
        <w:rPr>
          <w:rFonts w:hint="eastAsia" w:ascii="宋体" w:hAnsi="宋体" w:cs="宋体"/>
          <w:color w:val="auto"/>
          <w:sz w:val="24"/>
          <w:szCs w:val="24"/>
          <w:highlight w:val="none"/>
        </w:rPr>
        <w:t>“货物”是指</w:t>
      </w:r>
      <w:r>
        <w:rPr>
          <w:rFonts w:hint="eastAsia" w:ascii="宋体" w:hAnsi="宋体" w:cs="宋体"/>
          <w:color w:val="auto"/>
          <w:sz w:val="24"/>
          <w:szCs w:val="24"/>
          <w:highlight w:val="none"/>
          <w:lang w:eastAsia="zh-CN"/>
        </w:rPr>
        <w:t>招标人需求</w:t>
      </w:r>
      <w:r>
        <w:rPr>
          <w:rFonts w:hint="eastAsia" w:ascii="宋体" w:hAnsi="宋体" w:cs="宋体"/>
          <w:color w:val="auto"/>
          <w:sz w:val="24"/>
          <w:szCs w:val="24"/>
          <w:highlight w:val="none"/>
        </w:rPr>
        <w:t>中需求清单列明的各种规格参数、数量、形态和种类的物品，包括原材料、燃料、设备、产品等。</w:t>
      </w:r>
    </w:p>
    <w:p w14:paraId="45615075">
      <w:pPr>
        <w:pStyle w:val="6"/>
        <w:ind w:firstLine="480" w:firstLineChars="200"/>
        <w:rPr>
          <w:rFonts w:hAnsi="宋体" w:cs="宋体"/>
          <w:color w:val="auto"/>
          <w:sz w:val="24"/>
          <w:szCs w:val="24"/>
          <w:highlight w:val="none"/>
        </w:rPr>
      </w:pPr>
      <w:r>
        <w:rPr>
          <w:rFonts w:hint="eastAsia" w:hAnsi="宋体" w:cs="宋体"/>
          <w:color w:val="auto"/>
          <w:sz w:val="24"/>
          <w:szCs w:val="24"/>
          <w:highlight w:val="none"/>
        </w:rPr>
        <w:t>“服务”是指除货物和工程以外的其他采购对象,其中包括：投标人须承担的运输、安装、技术支持、培训以及采购文件规定的其它服务。</w:t>
      </w:r>
    </w:p>
    <w:p w14:paraId="748BD76F">
      <w:pPr>
        <w:pStyle w:val="5"/>
        <w:numPr>
          <w:ilvl w:val="0"/>
          <w:numId w:val="4"/>
        </w:numPr>
        <w:ind w:left="567" w:hanging="27"/>
        <w:jc w:val="left"/>
        <w:rPr>
          <w:rFonts w:hAnsi="宋体"/>
          <w:b/>
          <w:color w:val="auto"/>
          <w:sz w:val="24"/>
          <w:szCs w:val="24"/>
          <w:highlight w:val="none"/>
        </w:rPr>
      </w:pPr>
      <w:bookmarkStart w:id="58" w:name="_Toc14781"/>
      <w:bookmarkStart w:id="59" w:name="_Toc5597"/>
      <w:bookmarkStart w:id="60" w:name="_Toc22295581"/>
      <w:bookmarkStart w:id="61" w:name="_Toc23140"/>
      <w:bookmarkStart w:id="62" w:name="_Toc20693"/>
      <w:bookmarkStart w:id="63" w:name="_Toc1088"/>
      <w:r>
        <w:rPr>
          <w:rFonts w:hint="eastAsia" w:hAnsi="宋体"/>
          <w:b/>
          <w:color w:val="auto"/>
          <w:sz w:val="24"/>
          <w:szCs w:val="24"/>
          <w:highlight w:val="none"/>
        </w:rPr>
        <w:t>采购文件</w:t>
      </w:r>
      <w:bookmarkEnd w:id="58"/>
      <w:bookmarkEnd w:id="59"/>
      <w:bookmarkEnd w:id="60"/>
      <w:bookmarkEnd w:id="61"/>
      <w:bookmarkEnd w:id="62"/>
      <w:bookmarkEnd w:id="63"/>
    </w:p>
    <w:p w14:paraId="729B27F3">
      <w:pPr>
        <w:pStyle w:val="7"/>
        <w:numPr>
          <w:ilvl w:val="0"/>
          <w:numId w:val="5"/>
        </w:numPr>
        <w:spacing w:line="360" w:lineRule="auto"/>
        <w:ind w:left="426" w:firstLine="21"/>
        <w:rPr>
          <w:rFonts w:ascii="宋体" w:hAnsi="宋体" w:cs="宋体"/>
          <w:color w:val="auto"/>
          <w:sz w:val="24"/>
          <w:szCs w:val="24"/>
          <w:highlight w:val="none"/>
        </w:rPr>
      </w:pPr>
      <w:r>
        <w:rPr>
          <w:rFonts w:hint="eastAsia" w:ascii="宋体" w:hAnsi="宋体" w:cs="宋体"/>
          <w:color w:val="auto"/>
          <w:sz w:val="24"/>
          <w:szCs w:val="24"/>
          <w:highlight w:val="none"/>
        </w:rPr>
        <w:t>采购文件由下列文件以及在招标过程中发出的修正和补充文件组成：</w:t>
      </w:r>
    </w:p>
    <w:p w14:paraId="2EE55B3E">
      <w:pPr>
        <w:pStyle w:val="7"/>
        <w:numPr>
          <w:ilvl w:val="3"/>
          <w:numId w:val="4"/>
        </w:numPr>
        <w:spacing w:line="360" w:lineRule="auto"/>
        <w:ind w:left="426" w:firstLine="1"/>
        <w:rPr>
          <w:rFonts w:ascii="宋体" w:hAnsi="宋体" w:cs="宋体"/>
          <w:color w:val="auto"/>
          <w:sz w:val="24"/>
          <w:szCs w:val="24"/>
          <w:highlight w:val="none"/>
        </w:rPr>
      </w:pPr>
      <w:r>
        <w:rPr>
          <w:rFonts w:hint="eastAsia" w:ascii="宋体" w:hAnsi="宋体" w:cs="宋体"/>
          <w:color w:val="auto"/>
          <w:sz w:val="24"/>
          <w:szCs w:val="24"/>
          <w:highlight w:val="none"/>
        </w:rPr>
        <w:t>招标公告；</w:t>
      </w:r>
    </w:p>
    <w:p w14:paraId="345D23BD">
      <w:pPr>
        <w:pStyle w:val="7"/>
        <w:numPr>
          <w:ilvl w:val="3"/>
          <w:numId w:val="4"/>
        </w:numPr>
        <w:spacing w:line="360" w:lineRule="auto"/>
        <w:ind w:left="426" w:firstLine="1"/>
        <w:rPr>
          <w:rFonts w:ascii="宋体" w:hAnsi="宋体" w:cs="宋体"/>
          <w:color w:val="auto"/>
          <w:sz w:val="24"/>
          <w:szCs w:val="24"/>
          <w:highlight w:val="none"/>
        </w:rPr>
      </w:pPr>
      <w:r>
        <w:rPr>
          <w:rFonts w:hint="eastAsia" w:ascii="宋体" w:hAnsi="宋体" w:cs="宋体"/>
          <w:color w:val="auto"/>
          <w:sz w:val="24"/>
          <w:szCs w:val="24"/>
          <w:highlight w:val="none"/>
        </w:rPr>
        <w:t>投标人须知；</w:t>
      </w:r>
    </w:p>
    <w:p w14:paraId="4C073137">
      <w:pPr>
        <w:pStyle w:val="7"/>
        <w:numPr>
          <w:ilvl w:val="3"/>
          <w:numId w:val="4"/>
        </w:numPr>
        <w:spacing w:line="360" w:lineRule="auto"/>
        <w:ind w:left="426" w:firstLine="1"/>
        <w:rPr>
          <w:rFonts w:ascii="宋体" w:hAnsi="宋体" w:cs="宋体"/>
          <w:color w:val="auto"/>
          <w:sz w:val="24"/>
          <w:szCs w:val="24"/>
          <w:highlight w:val="none"/>
        </w:rPr>
      </w:pPr>
      <w:r>
        <w:rPr>
          <w:rFonts w:hint="eastAsia" w:ascii="宋体" w:hAnsi="宋体" w:cs="宋体"/>
          <w:color w:val="auto"/>
          <w:sz w:val="24"/>
          <w:szCs w:val="24"/>
          <w:highlight w:val="none"/>
          <w:lang w:eastAsia="zh-CN"/>
        </w:rPr>
        <w:t>招标人需求</w:t>
      </w:r>
      <w:r>
        <w:rPr>
          <w:rFonts w:hint="eastAsia" w:ascii="宋体" w:hAnsi="宋体" w:cs="宋体"/>
          <w:color w:val="auto"/>
          <w:sz w:val="24"/>
          <w:szCs w:val="24"/>
          <w:highlight w:val="none"/>
        </w:rPr>
        <w:t>；</w:t>
      </w:r>
    </w:p>
    <w:p w14:paraId="04343779">
      <w:pPr>
        <w:pStyle w:val="7"/>
        <w:numPr>
          <w:ilvl w:val="3"/>
          <w:numId w:val="4"/>
        </w:numPr>
        <w:spacing w:line="360" w:lineRule="auto"/>
        <w:ind w:left="426" w:firstLine="1"/>
        <w:rPr>
          <w:rFonts w:ascii="宋体" w:hAnsi="宋体" w:cs="宋体"/>
          <w:color w:val="auto"/>
          <w:sz w:val="24"/>
          <w:szCs w:val="24"/>
          <w:highlight w:val="none"/>
        </w:rPr>
      </w:pPr>
      <w:r>
        <w:rPr>
          <w:rFonts w:hint="eastAsia" w:ascii="宋体" w:hAnsi="宋体" w:cs="宋体"/>
          <w:color w:val="auto"/>
          <w:sz w:val="24"/>
          <w:szCs w:val="24"/>
          <w:highlight w:val="none"/>
        </w:rPr>
        <w:t>合同格式；</w:t>
      </w:r>
    </w:p>
    <w:p w14:paraId="7497B109">
      <w:pPr>
        <w:pStyle w:val="7"/>
        <w:numPr>
          <w:ilvl w:val="3"/>
          <w:numId w:val="4"/>
        </w:numPr>
        <w:spacing w:line="360" w:lineRule="auto"/>
        <w:ind w:left="426" w:firstLine="1"/>
        <w:rPr>
          <w:rFonts w:ascii="宋体" w:hAnsi="宋体" w:cs="宋体"/>
          <w:color w:val="auto"/>
          <w:sz w:val="24"/>
          <w:szCs w:val="24"/>
          <w:highlight w:val="none"/>
        </w:rPr>
      </w:pPr>
      <w:r>
        <w:rPr>
          <w:rFonts w:hint="eastAsia" w:ascii="宋体" w:hAnsi="宋体" w:cs="宋体"/>
          <w:color w:val="auto"/>
          <w:sz w:val="24"/>
          <w:szCs w:val="24"/>
          <w:highlight w:val="none"/>
        </w:rPr>
        <w:t>在招标过程中由</w:t>
      </w:r>
      <w:r>
        <w:rPr>
          <w:rFonts w:hint="eastAsia" w:hAnsi="宋体" w:cs="宋体"/>
          <w:color w:val="auto"/>
          <w:sz w:val="24"/>
          <w:szCs w:val="24"/>
          <w:highlight w:val="none"/>
        </w:rPr>
        <w:t>招标代理机构或</w:t>
      </w:r>
      <w:r>
        <w:rPr>
          <w:rFonts w:hint="eastAsia" w:ascii="宋体" w:hAnsi="宋体" w:cs="宋体"/>
          <w:color w:val="auto"/>
          <w:sz w:val="24"/>
          <w:szCs w:val="24"/>
          <w:highlight w:val="none"/>
        </w:rPr>
        <w:t>采购人发出的修正和补充文件等。</w:t>
      </w:r>
    </w:p>
    <w:p w14:paraId="12A6365C">
      <w:pPr>
        <w:pStyle w:val="7"/>
        <w:numPr>
          <w:ilvl w:val="0"/>
          <w:numId w:val="5"/>
        </w:numPr>
        <w:spacing w:line="360" w:lineRule="auto"/>
        <w:ind w:left="0" w:firstLine="426"/>
        <w:rPr>
          <w:rFonts w:ascii="宋体" w:hAnsi="宋体" w:cs="宋体"/>
          <w:color w:val="auto"/>
          <w:sz w:val="24"/>
          <w:szCs w:val="24"/>
          <w:highlight w:val="none"/>
        </w:rPr>
      </w:pPr>
      <w:r>
        <w:rPr>
          <w:rFonts w:hint="eastAsia" w:ascii="宋体" w:hAnsi="宋体" w:cs="宋体"/>
          <w:color w:val="auto"/>
          <w:sz w:val="24"/>
          <w:szCs w:val="24"/>
          <w:highlight w:val="none"/>
        </w:rPr>
        <w:t>投标人应认真阅读、并充分理解采购文件的全部内容（包括所有的补充、修改内容、重要事项、格式、条款和技术规范及要求等）。投标人没有按照采购文件要求提交全部资料，或者投标没有对采购文件在各方面都做出实质性响应是投标人的风险，有可能导致其投标被拒绝，或被认定为无效投标或被确定为投标无效。</w:t>
      </w:r>
    </w:p>
    <w:p w14:paraId="3FC8A5B8">
      <w:pPr>
        <w:pStyle w:val="7"/>
        <w:numPr>
          <w:ilvl w:val="0"/>
          <w:numId w:val="5"/>
        </w:numPr>
        <w:spacing w:line="360" w:lineRule="auto"/>
        <w:ind w:left="0" w:firstLine="426"/>
        <w:rPr>
          <w:rFonts w:ascii="宋体" w:hAnsi="宋体" w:cs="宋体"/>
          <w:color w:val="auto"/>
          <w:sz w:val="24"/>
          <w:szCs w:val="24"/>
          <w:highlight w:val="none"/>
        </w:rPr>
      </w:pPr>
      <w:r>
        <w:rPr>
          <w:rFonts w:hint="eastAsia" w:ascii="宋体" w:hAnsi="宋体" w:cs="宋体"/>
          <w:color w:val="auto"/>
          <w:sz w:val="24"/>
          <w:szCs w:val="24"/>
          <w:highlight w:val="none"/>
        </w:rPr>
        <w:t>踏勘现场</w:t>
      </w:r>
    </w:p>
    <w:p w14:paraId="20C71CE7">
      <w:pPr>
        <w:pStyle w:val="7"/>
        <w:spacing w:line="360" w:lineRule="auto"/>
        <w:ind w:left="426" w:firstLine="0"/>
        <w:rPr>
          <w:rFonts w:ascii="宋体" w:hAnsi="宋体" w:cs="宋体"/>
          <w:color w:val="auto"/>
          <w:sz w:val="24"/>
          <w:szCs w:val="24"/>
          <w:highlight w:val="none"/>
        </w:rPr>
      </w:pPr>
      <w:r>
        <w:rPr>
          <w:rFonts w:hint="eastAsia" w:ascii="宋体" w:hAnsi="宋体" w:cs="宋体"/>
          <w:color w:val="auto"/>
          <w:sz w:val="24"/>
          <w:szCs w:val="24"/>
          <w:highlight w:val="none"/>
        </w:rPr>
        <w:t>（1）本项目</w:t>
      </w:r>
      <w:r>
        <w:rPr>
          <w:rFonts w:hint="eastAsia" w:ascii="宋体" w:hAnsi="宋体" w:cs="宋体"/>
          <w:color w:val="auto"/>
          <w:sz w:val="24"/>
          <w:szCs w:val="24"/>
          <w:highlight w:val="none"/>
          <w:lang w:val="en-US" w:eastAsia="zh-CN"/>
        </w:rPr>
        <w:t>设置统一时间</w:t>
      </w:r>
      <w:r>
        <w:rPr>
          <w:rFonts w:hint="eastAsia" w:ascii="宋体" w:hAnsi="宋体" w:cs="宋体"/>
          <w:color w:val="auto"/>
          <w:sz w:val="24"/>
          <w:szCs w:val="24"/>
          <w:highlight w:val="none"/>
        </w:rPr>
        <w:t>现场勘察</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具体时间及要求见第二章《招标人要求》</w:t>
      </w:r>
      <w:r>
        <w:rPr>
          <w:rFonts w:hint="eastAsia" w:ascii="宋体" w:hAnsi="宋体" w:cs="宋体"/>
          <w:color w:val="auto"/>
          <w:sz w:val="24"/>
          <w:szCs w:val="24"/>
          <w:highlight w:val="none"/>
        </w:rPr>
        <w:t>。</w:t>
      </w:r>
    </w:p>
    <w:p w14:paraId="76CF3736">
      <w:pPr>
        <w:pStyle w:val="7"/>
        <w:spacing w:line="360" w:lineRule="auto"/>
        <w:ind w:left="426" w:firstLine="0"/>
        <w:rPr>
          <w:rFonts w:ascii="宋体" w:hAnsi="宋体" w:cs="宋体"/>
          <w:color w:val="auto"/>
          <w:sz w:val="24"/>
          <w:szCs w:val="24"/>
          <w:highlight w:val="none"/>
        </w:rPr>
      </w:pPr>
      <w:r>
        <w:rPr>
          <w:rFonts w:hint="eastAsia" w:ascii="宋体" w:hAnsi="宋体" w:cs="宋体"/>
          <w:color w:val="auto"/>
          <w:sz w:val="24"/>
          <w:szCs w:val="24"/>
          <w:highlight w:val="none"/>
        </w:rPr>
        <w:t>（2）本项目不需要现场招标答疑会。</w:t>
      </w:r>
    </w:p>
    <w:p w14:paraId="5BBC4130">
      <w:pPr>
        <w:pStyle w:val="5"/>
        <w:numPr>
          <w:ilvl w:val="0"/>
          <w:numId w:val="4"/>
        </w:numPr>
        <w:ind w:left="567" w:hanging="27"/>
        <w:jc w:val="left"/>
        <w:rPr>
          <w:rFonts w:hAnsi="宋体"/>
          <w:b/>
          <w:color w:val="auto"/>
          <w:sz w:val="24"/>
          <w:szCs w:val="24"/>
          <w:highlight w:val="none"/>
        </w:rPr>
      </w:pPr>
      <w:bookmarkStart w:id="64" w:name="_Toc20176"/>
      <w:bookmarkStart w:id="65" w:name="_Toc29197"/>
      <w:bookmarkStart w:id="66" w:name="_Toc22295582"/>
      <w:bookmarkStart w:id="67" w:name="_Toc26326"/>
      <w:bookmarkStart w:id="68" w:name="_Toc11853"/>
      <w:bookmarkStart w:id="69" w:name="_Toc22398"/>
      <w:r>
        <w:rPr>
          <w:rFonts w:hint="eastAsia" w:hAnsi="宋体"/>
          <w:b/>
          <w:color w:val="auto"/>
          <w:sz w:val="24"/>
          <w:szCs w:val="24"/>
          <w:highlight w:val="none"/>
        </w:rPr>
        <w:t>一般要求</w:t>
      </w:r>
      <w:bookmarkEnd w:id="51"/>
      <w:bookmarkEnd w:id="64"/>
      <w:bookmarkEnd w:id="65"/>
      <w:bookmarkEnd w:id="66"/>
      <w:bookmarkEnd w:id="67"/>
      <w:bookmarkEnd w:id="68"/>
      <w:bookmarkEnd w:id="69"/>
    </w:p>
    <w:p w14:paraId="37D7AF55">
      <w:pPr>
        <w:pStyle w:val="6"/>
        <w:numPr>
          <w:ilvl w:val="1"/>
          <w:numId w:val="4"/>
        </w:numPr>
        <w:tabs>
          <w:tab w:val="clear" w:pos="851"/>
        </w:tabs>
        <w:spacing w:before="120"/>
        <w:ind w:left="1134" w:hanging="709"/>
        <w:rPr>
          <w:rFonts w:hAnsi="宋体" w:cs="宋体"/>
          <w:b/>
          <w:color w:val="auto"/>
          <w:sz w:val="24"/>
          <w:szCs w:val="24"/>
          <w:highlight w:val="none"/>
        </w:rPr>
      </w:pPr>
      <w:bookmarkStart w:id="70" w:name="_Toc42394659"/>
      <w:bookmarkStart w:id="71" w:name="_Toc42394502"/>
      <w:bookmarkStart w:id="72" w:name="_Toc98579055"/>
      <w:bookmarkStart w:id="73" w:name="_Toc101775113"/>
      <w:bookmarkStart w:id="74" w:name="_Toc134956120"/>
      <w:bookmarkStart w:id="75" w:name="_Toc101843113"/>
      <w:bookmarkStart w:id="76" w:name="_Toc42313157"/>
      <w:bookmarkStart w:id="77" w:name="_Toc98580279"/>
      <w:bookmarkStart w:id="78" w:name="_Toc101951246"/>
      <w:bookmarkStart w:id="79" w:name="_Toc101771360"/>
      <w:bookmarkStart w:id="80" w:name="_Toc98579596"/>
      <w:bookmarkStart w:id="81" w:name="_Toc98578997"/>
      <w:bookmarkStart w:id="82" w:name="_Toc50276143"/>
      <w:r>
        <w:rPr>
          <w:rFonts w:hint="eastAsia" w:hAnsi="宋体" w:cs="宋体"/>
          <w:b/>
          <w:color w:val="auto"/>
          <w:sz w:val="24"/>
          <w:szCs w:val="24"/>
          <w:highlight w:val="none"/>
        </w:rPr>
        <w:t>关于限价</w:t>
      </w:r>
    </w:p>
    <w:p w14:paraId="542B703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项目最高限价详见“</w:t>
      </w:r>
      <w:r>
        <w:rPr>
          <w:rFonts w:hint="eastAsia" w:cs="仿宋_GB2312" w:asciiTheme="minorEastAsia" w:hAnsiTheme="minorEastAsia" w:eastAsiaTheme="minorEastAsia"/>
          <w:color w:val="auto"/>
          <w:sz w:val="24"/>
          <w:szCs w:val="24"/>
          <w:highlight w:val="none"/>
        </w:rPr>
        <w:t>招标公告</w:t>
      </w:r>
      <w:r>
        <w:rPr>
          <w:rFonts w:hint="eastAsia" w:ascii="宋体" w:hAnsi="宋体" w:cs="宋体"/>
          <w:color w:val="auto"/>
          <w:sz w:val="24"/>
          <w:szCs w:val="24"/>
          <w:highlight w:val="none"/>
        </w:rPr>
        <w:t>”。最高限价包括了服务费、差旅费、误餐费、保险、税费及其他费用等一切支出，采购人不再支付任何费用。凡超出限价的投标，一律视为无效投标。投标人的报价，是各项费用和含税综合计算的结果,且所报价格为闭口价,中标后结果有效期内价格不再允许变化。</w:t>
      </w:r>
    </w:p>
    <w:p w14:paraId="3B59DF91">
      <w:pPr>
        <w:pStyle w:val="6"/>
        <w:numPr>
          <w:ilvl w:val="1"/>
          <w:numId w:val="4"/>
        </w:numPr>
        <w:tabs>
          <w:tab w:val="clear" w:pos="851"/>
        </w:tabs>
        <w:spacing w:before="120"/>
        <w:ind w:left="1134" w:hanging="709"/>
        <w:rPr>
          <w:rFonts w:hAnsi="宋体" w:cs="宋体"/>
          <w:b/>
          <w:color w:val="auto"/>
          <w:sz w:val="24"/>
          <w:szCs w:val="24"/>
          <w:highlight w:val="none"/>
        </w:rPr>
      </w:pPr>
      <w:r>
        <w:rPr>
          <w:rFonts w:hint="eastAsia" w:hAnsi="宋体" w:cs="宋体"/>
          <w:b/>
          <w:color w:val="auto"/>
          <w:sz w:val="24"/>
          <w:szCs w:val="24"/>
          <w:highlight w:val="none"/>
        </w:rPr>
        <w:t>招标代理服务费及平台服务费</w:t>
      </w:r>
    </w:p>
    <w:p w14:paraId="5205030E">
      <w:pPr>
        <w:pStyle w:val="6"/>
        <w:tabs>
          <w:tab w:val="clear" w:pos="851"/>
        </w:tabs>
        <w:spacing w:before="120"/>
        <w:ind w:left="425"/>
        <w:rPr>
          <w:rFonts w:hAnsi="宋体" w:cs="宋体"/>
          <w:b/>
          <w:color w:val="auto"/>
          <w:sz w:val="24"/>
          <w:szCs w:val="24"/>
          <w:highlight w:val="none"/>
        </w:rPr>
      </w:pPr>
      <w:r>
        <w:rPr>
          <w:rFonts w:hint="eastAsia" w:hAnsi="宋体" w:cs="宋体"/>
          <w:b/>
          <w:color w:val="auto"/>
          <w:sz w:val="24"/>
          <w:szCs w:val="24"/>
          <w:highlight w:val="none"/>
        </w:rPr>
        <w:t>1.招标代理服务费</w:t>
      </w:r>
    </w:p>
    <w:p w14:paraId="0AE770DC">
      <w:pPr>
        <w:tabs>
          <w:tab w:val="left" w:pos="737"/>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1.1不论投标的结果如何，投标人应自行承担所有与编写和提交投标文件有关的全部费用。</w:t>
      </w:r>
    </w:p>
    <w:p w14:paraId="49824492">
      <w:pPr>
        <w:tabs>
          <w:tab w:val="left" w:pos="737"/>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1.2本项目的中标人须向</w:t>
      </w:r>
      <w:r>
        <w:rPr>
          <w:rFonts w:hint="eastAsia" w:ascii="宋体" w:hAnsi="宋体" w:cs="宋体"/>
          <w:color w:val="auto"/>
          <w:sz w:val="24"/>
          <w:szCs w:val="24"/>
          <w:highlight w:val="none"/>
          <w:lang w:eastAsia="zh-CN"/>
        </w:rPr>
        <w:t>广州众源建设管理有限公司</w:t>
      </w:r>
      <w:r>
        <w:rPr>
          <w:rFonts w:hint="eastAsia" w:ascii="宋体" w:hAnsi="宋体" w:cs="宋体"/>
          <w:color w:val="auto"/>
          <w:sz w:val="24"/>
          <w:szCs w:val="24"/>
          <w:highlight w:val="none"/>
        </w:rPr>
        <w:t>一次性交纳的招标服务费，参照计价格[2002]1980号文等法律法规规定，本项目的招标代理服务费执行以下价格：</w:t>
      </w:r>
    </w:p>
    <w:p w14:paraId="178A8720">
      <w:pPr>
        <w:tabs>
          <w:tab w:val="left" w:pos="312"/>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（1）以本项目预算金额作为收费的计算基数；</w:t>
      </w:r>
    </w:p>
    <w:p w14:paraId="0676CAF1">
      <w:pPr>
        <w:tabs>
          <w:tab w:val="left" w:pos="312"/>
        </w:tabs>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w:t>
      </w:r>
      <w:bookmarkStart w:id="83" w:name="_Hlk22288304"/>
      <w:r>
        <w:rPr>
          <w:rFonts w:hint="eastAsia" w:ascii="宋体" w:hAnsi="宋体" w:cs="宋体"/>
          <w:color w:val="auto"/>
          <w:sz w:val="24"/>
          <w:szCs w:val="24"/>
          <w:highlight w:val="none"/>
        </w:rPr>
        <w:t>招标代理服务收费按差额定率累进法计算</w:t>
      </w:r>
      <w:bookmarkEnd w:id="83"/>
      <w:r>
        <w:rPr>
          <w:rFonts w:hint="eastAsia" w:ascii="宋体" w:hAnsi="宋体" w:cs="宋体"/>
          <w:color w:val="auto"/>
          <w:sz w:val="24"/>
          <w:szCs w:val="24"/>
          <w:highlight w:val="none"/>
          <w:lang w:eastAsia="zh-CN"/>
        </w:rPr>
        <w:t>；</w:t>
      </w:r>
    </w:p>
    <w:p w14:paraId="7B069483">
      <w:pPr>
        <w:tabs>
          <w:tab w:val="left" w:pos="312"/>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（3）招标代理服务费不在投标报价中单列。</w:t>
      </w:r>
    </w:p>
    <w:p w14:paraId="3847F1A6">
      <w:pPr>
        <w:tabs>
          <w:tab w:val="left" w:pos="737"/>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1.3中标人在领取《中标通知书》前，必须按《缴费通知书》向</w:t>
      </w:r>
      <w:r>
        <w:rPr>
          <w:rFonts w:hint="eastAsia" w:asciiTheme="minorEastAsia" w:hAnsiTheme="minorEastAsia"/>
          <w:color w:val="auto"/>
          <w:sz w:val="24"/>
          <w:szCs w:val="24"/>
          <w:highlight w:val="none"/>
          <w:lang w:eastAsia="zh-CN"/>
        </w:rPr>
        <w:t>广州众源建设管理有限公司</w:t>
      </w:r>
      <w:r>
        <w:rPr>
          <w:rFonts w:hint="eastAsia" w:ascii="宋体" w:hAnsi="宋体" w:cs="宋体"/>
          <w:color w:val="auto"/>
          <w:sz w:val="24"/>
          <w:szCs w:val="24"/>
          <w:highlight w:val="none"/>
        </w:rPr>
        <w:t>直接交纳招标服务费，银行汇票、电汇、转账账号信息如下（请注明所中项目编号）：</w:t>
      </w:r>
    </w:p>
    <w:p w14:paraId="523F9117">
      <w:pPr>
        <w:tabs>
          <w:tab w:val="left" w:pos="737"/>
        </w:tabs>
        <w:spacing w:line="360" w:lineRule="auto"/>
        <w:ind w:left="566"/>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户名：</w:t>
      </w:r>
      <w:r>
        <w:rPr>
          <w:rFonts w:hint="eastAsia" w:asciiTheme="minorEastAsia" w:hAnsiTheme="minorEastAsia"/>
          <w:color w:val="auto"/>
          <w:sz w:val="24"/>
          <w:szCs w:val="24"/>
          <w:highlight w:val="none"/>
          <w:lang w:eastAsia="zh-CN"/>
        </w:rPr>
        <w:t>广州众源建设管理有限公司</w:t>
      </w:r>
    </w:p>
    <w:p w14:paraId="4C09539F">
      <w:pPr>
        <w:tabs>
          <w:tab w:val="left" w:pos="737"/>
        </w:tabs>
        <w:spacing w:line="360" w:lineRule="auto"/>
        <w:ind w:left="566"/>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hint="eastAsia" w:ascii="宋体" w:hAnsi="宋体" w:cs="宋体"/>
          <w:color w:val="auto"/>
          <w:sz w:val="24"/>
          <w:szCs w:val="24"/>
          <w:highlight w:val="none"/>
          <w:lang w:val="en-US" w:eastAsia="zh-CN"/>
        </w:rPr>
        <w:t>广发银行股份有限公司广州财富广场支行</w:t>
      </w:r>
    </w:p>
    <w:p w14:paraId="791C871A">
      <w:pPr>
        <w:tabs>
          <w:tab w:val="left" w:pos="737"/>
        </w:tabs>
        <w:spacing w:line="360" w:lineRule="auto"/>
        <w:ind w:left="566"/>
        <w:rPr>
          <w:rFonts w:ascii="宋体" w:hAnsi="宋体" w:cs="宋体"/>
          <w:color w:val="auto"/>
          <w:highlight w:val="none"/>
        </w:rPr>
      </w:pPr>
      <w:r>
        <w:rPr>
          <w:rFonts w:hint="eastAsia" w:ascii="宋体" w:hAnsi="宋体" w:cs="宋体"/>
          <w:color w:val="auto"/>
          <w:sz w:val="24"/>
          <w:szCs w:val="24"/>
          <w:highlight w:val="none"/>
        </w:rPr>
        <w:t>账号：</w:t>
      </w:r>
      <w:r>
        <w:rPr>
          <w:rFonts w:hint="eastAsia" w:ascii="宋体" w:hAnsi="宋体" w:cs="宋体"/>
          <w:color w:val="auto"/>
          <w:sz w:val="24"/>
          <w:szCs w:val="24"/>
          <w:highlight w:val="none"/>
          <w:lang w:val="en-US" w:eastAsia="zh-CN"/>
        </w:rPr>
        <w:t>9550880214829600193</w:t>
      </w:r>
    </w:p>
    <w:p w14:paraId="29D70493">
      <w:pPr>
        <w:pStyle w:val="6"/>
        <w:tabs>
          <w:tab w:val="clear" w:pos="851"/>
        </w:tabs>
        <w:spacing w:before="120"/>
        <w:ind w:left="425"/>
        <w:rPr>
          <w:rFonts w:hAnsi="宋体" w:cs="宋体"/>
          <w:b/>
          <w:color w:val="auto"/>
          <w:sz w:val="24"/>
          <w:szCs w:val="24"/>
          <w:highlight w:val="none"/>
        </w:rPr>
      </w:pPr>
      <w:r>
        <w:rPr>
          <w:rFonts w:hint="eastAsia" w:hAnsi="宋体" w:cs="宋体"/>
          <w:b/>
          <w:color w:val="auto"/>
          <w:sz w:val="24"/>
          <w:szCs w:val="24"/>
          <w:highlight w:val="none"/>
        </w:rPr>
        <w:t xml:space="preserve"> 2.平台交易服务费</w:t>
      </w:r>
    </w:p>
    <w:p w14:paraId="4D452AD1">
      <w:pPr>
        <w:pStyle w:val="68"/>
        <w:tabs>
          <w:tab w:val="left" w:pos="312"/>
        </w:tabs>
        <w:adjustRightInd w:val="0"/>
        <w:snapToGrid w:val="0"/>
        <w:spacing w:line="360" w:lineRule="auto"/>
        <w:ind w:firstLineChars="175"/>
        <w:rPr>
          <w:rFonts w:ascii="宋体" w:hAnsi="宋体" w:cs="宋体"/>
          <w:color w:val="auto"/>
          <w:kern w:val="2"/>
          <w:sz w:val="24"/>
          <w:szCs w:val="24"/>
          <w:highlight w:val="none"/>
        </w:rPr>
      </w:pPr>
      <w:r>
        <w:rPr>
          <w:rFonts w:hint="eastAsia" w:hAnsi="宋体" w:cs="宋体"/>
          <w:color w:val="auto"/>
          <w:sz w:val="24"/>
          <w:szCs w:val="24"/>
          <w:highlight w:val="none"/>
        </w:rPr>
        <w:t>本项目出具中标通知书之前，由中标人按本项目</w:t>
      </w:r>
      <w:r>
        <w:rPr>
          <w:rFonts w:hint="eastAsia" w:ascii="sans-serif" w:hAnsi="sans-serif" w:eastAsia="宋体" w:cs="sans-serif"/>
          <w:color w:val="auto"/>
          <w:sz w:val="25"/>
          <w:szCs w:val="25"/>
          <w:highlight w:val="none"/>
          <w:shd w:val="clear" w:color="auto" w:fill="FFFFFF"/>
          <w:lang w:val="en-US" w:eastAsia="zh-CN" w:bidi="ar"/>
        </w:rPr>
        <w:t>成交金额</w:t>
      </w:r>
      <w:r>
        <w:rPr>
          <w:rFonts w:ascii="宋体" w:hAnsi="宋体" w:cs="宋体"/>
          <w:color w:val="auto"/>
          <w:kern w:val="2"/>
          <w:sz w:val="24"/>
          <w:szCs w:val="24"/>
          <w:highlight w:val="none"/>
        </w:rPr>
        <w:t>0.9‰向阳光采购服务平台一次性支付平台交易服务费至以下指定账户，</w:t>
      </w:r>
      <w:r>
        <w:rPr>
          <w:rFonts w:hint="eastAsia" w:hAnsi="宋体" w:cs="宋体"/>
          <w:color w:val="auto"/>
          <w:sz w:val="24"/>
          <w:szCs w:val="24"/>
          <w:highlight w:val="none"/>
        </w:rPr>
        <w:t>本项目</w:t>
      </w:r>
      <w:r>
        <w:rPr>
          <w:rFonts w:ascii="宋体" w:hAnsi="宋体" w:cs="宋体"/>
          <w:color w:val="auto"/>
          <w:kern w:val="2"/>
          <w:sz w:val="24"/>
          <w:szCs w:val="24"/>
          <w:highlight w:val="none"/>
        </w:rPr>
        <w:t>最低收费人民币2000元（使用场地时间超过1日的，按超时间2000元/4小时收取），最高不超过人民币20万元</w:t>
      </w:r>
      <w:r>
        <w:rPr>
          <w:rFonts w:hint="eastAsia" w:ascii="宋体" w:hAnsi="宋体" w:cs="宋体"/>
          <w:color w:val="auto"/>
          <w:kern w:val="2"/>
          <w:sz w:val="24"/>
          <w:szCs w:val="24"/>
          <w:highlight w:val="none"/>
        </w:rPr>
        <w:t>。</w:t>
      </w:r>
    </w:p>
    <w:p w14:paraId="2EDDDBA2">
      <w:pPr>
        <w:pStyle w:val="3"/>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highlight w:val="none"/>
        </w:rPr>
        <w:t>中标人登录阳光采购服务平台查询应缴平台交易服务费金额。获取缴费银行信息如下：在平台首页右上方“我的项目”模块，找到已完成登记的项目，点击“项目流程”，进入项目的“费用缴纳查询”模块，即可查看对应项目的服务费账号信息。汇款时请注明所投项目名称。</w:t>
      </w:r>
    </w:p>
    <w:p w14:paraId="06E818A1">
      <w:pPr>
        <w:pStyle w:val="6"/>
        <w:numPr>
          <w:ilvl w:val="1"/>
          <w:numId w:val="4"/>
        </w:numPr>
        <w:tabs>
          <w:tab w:val="clear" w:pos="851"/>
        </w:tabs>
        <w:spacing w:before="120"/>
        <w:ind w:left="1134" w:hanging="709"/>
        <w:rPr>
          <w:rFonts w:hAnsi="宋体" w:cs="宋体"/>
          <w:b/>
          <w:color w:val="auto"/>
          <w:sz w:val="24"/>
          <w:szCs w:val="24"/>
          <w:highlight w:val="none"/>
        </w:rPr>
      </w:pPr>
      <w:r>
        <w:rPr>
          <w:rFonts w:hint="eastAsia" w:hAnsi="宋体" w:cs="宋体"/>
          <w:b/>
          <w:color w:val="auto"/>
          <w:sz w:val="24"/>
          <w:szCs w:val="24"/>
          <w:highlight w:val="none"/>
        </w:rPr>
        <w:t>采购文件的澄清和修改</w:t>
      </w:r>
      <w:bookmarkEnd w:id="70"/>
      <w:bookmarkEnd w:id="71"/>
      <w:bookmarkEnd w:id="72"/>
      <w:bookmarkEnd w:id="73"/>
      <w:bookmarkEnd w:id="74"/>
      <w:bookmarkEnd w:id="75"/>
      <w:bookmarkEnd w:id="76"/>
      <w:bookmarkEnd w:id="77"/>
      <w:bookmarkEnd w:id="78"/>
      <w:bookmarkEnd w:id="79"/>
      <w:bookmarkEnd w:id="80"/>
      <w:bookmarkEnd w:id="81"/>
      <w:bookmarkEnd w:id="82"/>
    </w:p>
    <w:p w14:paraId="2218378E">
      <w:pPr>
        <w:pStyle w:val="6"/>
        <w:tabs>
          <w:tab w:val="clear" w:pos="851"/>
        </w:tabs>
        <w:ind w:firstLine="566" w:firstLineChars="23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1.采购人对采购文件进行必要的澄清或者修改的，于开标前15天</w:t>
      </w:r>
      <w:r>
        <w:rPr>
          <w:rFonts w:hint="eastAsia" w:cs="仿宋_GB2312" w:asciiTheme="minorEastAsia" w:hAnsiTheme="minorEastAsia" w:eastAsiaTheme="minorEastAsia"/>
          <w:color w:val="auto"/>
          <w:sz w:val="24"/>
          <w:szCs w:val="24"/>
          <w:highlight w:val="none"/>
        </w:rPr>
        <w:t>在相关网站上发布公告，</w:t>
      </w:r>
      <w:r>
        <w:rPr>
          <w:rFonts w:cs="仿宋_GB2312" w:asciiTheme="minorEastAsia" w:hAnsiTheme="minorEastAsia" w:eastAsiaTheme="minorEastAsia"/>
          <w:color w:val="auto"/>
          <w:sz w:val="24"/>
          <w:szCs w:val="24"/>
          <w:highlight w:val="none"/>
        </w:rPr>
        <w:t>并</w:t>
      </w:r>
      <w:r>
        <w:rPr>
          <w:rFonts w:hint="eastAsia" w:asciiTheme="minorEastAsia" w:hAnsiTheme="minorEastAsia" w:eastAsiaTheme="minorEastAsia"/>
          <w:color w:val="auto"/>
          <w:sz w:val="24"/>
          <w:szCs w:val="24"/>
          <w:highlight w:val="none"/>
        </w:rPr>
        <w:t>通知所有</w:t>
      </w:r>
      <w:r>
        <w:rPr>
          <w:rFonts w:hint="eastAsia" w:asciiTheme="minorEastAsia" w:hAnsiTheme="minorEastAsia"/>
          <w:color w:val="auto"/>
          <w:sz w:val="24"/>
          <w:szCs w:val="24"/>
          <w:highlight w:val="none"/>
        </w:rPr>
        <w:t>登记</w:t>
      </w:r>
      <w:r>
        <w:rPr>
          <w:rFonts w:hint="eastAsia" w:asciiTheme="minorEastAsia" w:hAnsiTheme="minorEastAsia" w:eastAsiaTheme="minorEastAsia"/>
          <w:color w:val="auto"/>
          <w:sz w:val="24"/>
          <w:szCs w:val="24"/>
          <w:highlight w:val="none"/>
        </w:rPr>
        <w:t>及购买采购文件的投标人，</w:t>
      </w:r>
      <w:r>
        <w:rPr>
          <w:rFonts w:hint="eastAsia" w:asciiTheme="minorEastAsia" w:hAnsiTheme="minorEastAsia"/>
          <w:color w:val="auto"/>
          <w:sz w:val="24"/>
          <w:szCs w:val="24"/>
          <w:highlight w:val="none"/>
        </w:rPr>
        <w:t>登记</w:t>
      </w:r>
      <w:r>
        <w:rPr>
          <w:rFonts w:hint="eastAsia" w:asciiTheme="minorEastAsia" w:hAnsiTheme="minorEastAsia" w:eastAsiaTheme="minorEastAsia"/>
          <w:color w:val="auto"/>
          <w:sz w:val="24"/>
          <w:szCs w:val="24"/>
          <w:highlight w:val="none"/>
        </w:rPr>
        <w:t>及购买采购文件的投标人在收到澄清或修改通知后应按要求以书面形式予以确认</w:t>
      </w:r>
      <w:r>
        <w:rPr>
          <w:rFonts w:hint="eastAsia" w:cs="Arial"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加盖单位公章，传真或电子有效方式送达</w:t>
      </w:r>
      <w:r>
        <w:rPr>
          <w:rStyle w:val="66"/>
          <w:rFonts w:hint="eastAsia" w:asciiTheme="minorEastAsia" w:hAnsiTheme="minorEastAsia" w:eastAsiaTheme="minorEastAsia"/>
          <w:color w:val="auto"/>
          <w:sz w:val="24"/>
          <w:szCs w:val="24"/>
          <w:highlight w:val="none"/>
        </w:rPr>
        <w:t>；或者提交法定代表人/负责人或委托代理人签署的回执原件</w:t>
      </w:r>
      <w:r>
        <w:rPr>
          <w:rFonts w:hint="eastAsia" w:cs="Arial" w:asciiTheme="minorEastAsia" w:hAnsiTheme="minorEastAsia" w:eastAsiaTheme="minorEastAsia"/>
          <w:color w:val="auto"/>
          <w:sz w:val="24"/>
          <w:highlight w:val="none"/>
        </w:rPr>
        <w:t>）</w:t>
      </w:r>
      <w:r>
        <w:rPr>
          <w:rFonts w:hint="eastAsia" w:asciiTheme="minorEastAsia" w:hAnsiTheme="minorEastAsia" w:eastAsiaTheme="minorEastAsia"/>
          <w:color w:val="auto"/>
          <w:sz w:val="24"/>
          <w:szCs w:val="24"/>
          <w:highlight w:val="none"/>
        </w:rPr>
        <w:t>，该澄清或修改的内容为采购文件的组成部分,并对投标人具有约束力；在投标截止时间15日前的任何时候，无论出于何种原因，采购人可主动地或在解答投标人提出的需澄清问题时，向投标人发送对采购文件的修改文件。</w:t>
      </w:r>
    </w:p>
    <w:p w14:paraId="2A0B4DB6">
      <w:pPr>
        <w:pStyle w:val="6"/>
        <w:ind w:firstLine="566" w:firstLineChars="23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fldChar w:fldCharType="begin"/>
      </w:r>
      <w:r>
        <w:rPr>
          <w:rFonts w:hint="eastAsia" w:asciiTheme="minorEastAsia" w:hAnsiTheme="minorEastAsia" w:eastAsiaTheme="minorEastAsia"/>
          <w:color w:val="auto"/>
          <w:sz w:val="24"/>
          <w:szCs w:val="24"/>
          <w:highlight w:val="none"/>
        </w:rPr>
        <w:instrText xml:space="preserve"> = 2. \* Arabic </w:instrText>
      </w:r>
      <w:r>
        <w:rPr>
          <w:rFonts w:hint="eastAsia" w:asciiTheme="minorEastAsia" w:hAnsiTheme="minorEastAsia" w:eastAsiaTheme="minorEastAsia"/>
          <w:color w:val="auto"/>
          <w:sz w:val="24"/>
          <w:szCs w:val="24"/>
          <w:highlight w:val="none"/>
        </w:rPr>
        <w:fldChar w:fldCharType="separate"/>
      </w:r>
      <w:r>
        <w:rPr>
          <w:rFonts w:hint="eastAsia" w:asciiTheme="minorEastAsia" w:hAnsiTheme="minorEastAsia" w:eastAsiaTheme="minorEastAsia"/>
          <w:color w:val="auto"/>
          <w:sz w:val="24"/>
          <w:szCs w:val="24"/>
          <w:highlight w:val="none"/>
        </w:rPr>
        <w:t>2</w:t>
      </w:r>
      <w:r>
        <w:rPr>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投标人在规定的时间内未对采购文件提出疑问、质疑或要求澄清的，将视其为无异议。对采购文件中描述有歧义或前后不一致的地方，评标委员会或采购人有权进行评判或解释，但对同一条款的评判应适用于每个投标人。</w:t>
      </w:r>
    </w:p>
    <w:p w14:paraId="1621EF99">
      <w:pPr>
        <w:pStyle w:val="6"/>
        <w:numPr>
          <w:ilvl w:val="1"/>
          <w:numId w:val="4"/>
        </w:numPr>
        <w:tabs>
          <w:tab w:val="clear" w:pos="851"/>
        </w:tabs>
        <w:spacing w:before="120"/>
        <w:ind w:left="1134" w:hanging="709"/>
        <w:rPr>
          <w:rFonts w:hAnsi="宋体" w:cs="宋体"/>
          <w:b/>
          <w:color w:val="auto"/>
          <w:sz w:val="24"/>
          <w:szCs w:val="24"/>
          <w:highlight w:val="none"/>
        </w:rPr>
      </w:pPr>
      <w:bookmarkStart w:id="84" w:name="_Toc134956121"/>
      <w:r>
        <w:rPr>
          <w:rFonts w:hint="eastAsia" w:hAnsi="宋体" w:cs="宋体"/>
          <w:b/>
          <w:color w:val="auto"/>
          <w:sz w:val="24"/>
          <w:szCs w:val="24"/>
          <w:highlight w:val="none"/>
        </w:rPr>
        <w:t>知识产权</w:t>
      </w:r>
      <w:bookmarkEnd w:id="84"/>
    </w:p>
    <w:p w14:paraId="3F077E0C">
      <w:pPr>
        <w:pStyle w:val="6"/>
        <w:numPr>
          <w:ilvl w:val="2"/>
          <w:numId w:val="6"/>
        </w:numPr>
        <w:tabs>
          <w:tab w:val="clear" w:pos="851"/>
        </w:tabs>
        <w:ind w:left="0" w:firstLine="540"/>
        <w:rPr>
          <w:rFonts w:hAnsi="宋体" w:cs="宋体"/>
          <w:color w:val="auto"/>
          <w:sz w:val="24"/>
          <w:szCs w:val="24"/>
          <w:highlight w:val="none"/>
          <w:lang w:val="en-GB"/>
        </w:rPr>
      </w:pPr>
      <w:r>
        <w:rPr>
          <w:rFonts w:hint="eastAsia" w:hAnsi="宋体" w:cs="宋体"/>
          <w:color w:val="auto"/>
          <w:sz w:val="24"/>
          <w:szCs w:val="24"/>
          <w:highlight w:val="none"/>
        </w:rPr>
        <w:t>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14:paraId="047642EE">
      <w:pPr>
        <w:pStyle w:val="6"/>
        <w:numPr>
          <w:ilvl w:val="2"/>
          <w:numId w:val="6"/>
        </w:numPr>
        <w:tabs>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投标报价应包含所有应向所有权人支付的专利权、商标权或其它知识产权的一切相关费用。</w:t>
      </w:r>
    </w:p>
    <w:p w14:paraId="283CFA08">
      <w:pPr>
        <w:pStyle w:val="6"/>
        <w:numPr>
          <w:ilvl w:val="1"/>
          <w:numId w:val="4"/>
        </w:numPr>
        <w:tabs>
          <w:tab w:val="clear" w:pos="851"/>
        </w:tabs>
        <w:spacing w:before="120"/>
        <w:ind w:left="1134" w:hanging="709"/>
        <w:rPr>
          <w:rFonts w:hAnsi="宋体" w:cs="宋体"/>
          <w:b/>
          <w:bCs/>
          <w:color w:val="auto"/>
          <w:sz w:val="24"/>
          <w:szCs w:val="24"/>
          <w:highlight w:val="none"/>
        </w:rPr>
      </w:pPr>
      <w:bookmarkStart w:id="85" w:name="_Toc101775114"/>
      <w:bookmarkStart w:id="86" w:name="_Toc42394658"/>
      <w:bookmarkStart w:id="87" w:name="_Toc98579054"/>
      <w:bookmarkStart w:id="88" w:name="_Toc134956122"/>
      <w:bookmarkStart w:id="89" w:name="_Toc101951247"/>
      <w:bookmarkStart w:id="90" w:name="_Toc42313156"/>
      <w:bookmarkStart w:id="91" w:name="_Toc42394501"/>
      <w:bookmarkStart w:id="92" w:name="_Toc98579595"/>
      <w:bookmarkStart w:id="93" w:name="_Toc98580278"/>
      <w:bookmarkStart w:id="94" w:name="_Toc41884688"/>
      <w:bookmarkStart w:id="95" w:name="_Toc101771361"/>
      <w:bookmarkStart w:id="96" w:name="_Toc41723918"/>
      <w:bookmarkStart w:id="97" w:name="_Toc101843114"/>
      <w:bookmarkStart w:id="98" w:name="_Toc50276142"/>
      <w:bookmarkStart w:id="99" w:name="_Toc98578996"/>
      <w:r>
        <w:rPr>
          <w:rFonts w:hint="eastAsia" w:hAnsi="宋体" w:cs="宋体"/>
          <w:b/>
          <w:color w:val="auto"/>
          <w:sz w:val="24"/>
          <w:szCs w:val="24"/>
          <w:highlight w:val="none"/>
        </w:rPr>
        <w:t>纪律与保密事项</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87A5813">
      <w:pPr>
        <w:pStyle w:val="6"/>
        <w:numPr>
          <w:ilvl w:val="2"/>
          <w:numId w:val="7"/>
        </w:numPr>
        <w:tabs>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投标人不得相互串通投标报价，不得妨碍其他投标人的公平竞争，不得损害采购人或其他投标人的合法权益，投标人不得以向采购人、评标委员会成员行贿或者采取其他不正当手段谋取中标。</w:t>
      </w:r>
    </w:p>
    <w:p w14:paraId="77236136">
      <w:pPr>
        <w:pStyle w:val="6"/>
        <w:numPr>
          <w:ilvl w:val="2"/>
          <w:numId w:val="7"/>
        </w:numPr>
        <w:tabs>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在确定中标单位之前，投标人不得与采购人就投标价格、投标方案等实质性内容进行谈判，也不得私下接触评标委员会成员。</w:t>
      </w:r>
    </w:p>
    <w:p w14:paraId="12A95813">
      <w:pPr>
        <w:pStyle w:val="6"/>
        <w:numPr>
          <w:ilvl w:val="2"/>
          <w:numId w:val="7"/>
        </w:numPr>
        <w:tabs>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在确定中标单位之前，投标人试图在投标文件审查、澄清、比较和评价时对评标委员会、采购人施加任何影响都可能导致其投标无效。</w:t>
      </w:r>
    </w:p>
    <w:p w14:paraId="73CFEA8B">
      <w:pPr>
        <w:pStyle w:val="6"/>
        <w:numPr>
          <w:ilvl w:val="2"/>
          <w:numId w:val="7"/>
        </w:numPr>
        <w:tabs>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获得本采购文件者，不得将采购文件用作本次投标以外的任何用途。开标后，投标人应归还采购文件中的保密文件和资料。</w:t>
      </w:r>
    </w:p>
    <w:p w14:paraId="6213D030">
      <w:pPr>
        <w:pStyle w:val="6"/>
        <w:numPr>
          <w:ilvl w:val="2"/>
          <w:numId w:val="7"/>
        </w:numPr>
        <w:tabs>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密资料。</w:t>
      </w:r>
    </w:p>
    <w:p w14:paraId="3AF44CBC">
      <w:pPr>
        <w:pStyle w:val="6"/>
        <w:numPr>
          <w:ilvl w:val="1"/>
          <w:numId w:val="4"/>
        </w:numPr>
        <w:tabs>
          <w:tab w:val="clear" w:pos="851"/>
        </w:tabs>
        <w:spacing w:before="120"/>
        <w:ind w:left="1134" w:hanging="709"/>
        <w:rPr>
          <w:rFonts w:hAnsi="宋体" w:cs="宋体"/>
          <w:b/>
          <w:bCs/>
          <w:color w:val="auto"/>
          <w:sz w:val="24"/>
          <w:szCs w:val="24"/>
          <w:highlight w:val="none"/>
        </w:rPr>
      </w:pPr>
      <w:bookmarkStart w:id="100" w:name="_Toc101771362"/>
      <w:bookmarkStart w:id="101" w:name="_Toc101843115"/>
      <w:bookmarkStart w:id="102" w:name="_Toc101775115"/>
      <w:bookmarkStart w:id="103" w:name="_Toc101951248"/>
      <w:r>
        <w:rPr>
          <w:rFonts w:hint="eastAsia" w:hAnsi="宋体" w:cs="宋体"/>
          <w:b/>
          <w:color w:val="auto"/>
          <w:sz w:val="24"/>
          <w:szCs w:val="24"/>
          <w:highlight w:val="none"/>
        </w:rPr>
        <w:t>关于关联企业</w:t>
      </w:r>
    </w:p>
    <w:p w14:paraId="3961C642">
      <w:pPr>
        <w:pStyle w:val="7"/>
        <w:tabs>
          <w:tab w:val="left" w:pos="540"/>
        </w:tabs>
        <w:spacing w:line="360" w:lineRule="auto"/>
        <w:ind w:firstLine="480" w:firstLineChars="200"/>
        <w:rPr>
          <w:rFonts w:ascii="宋体" w:hAnsi="宋体" w:cs="宋体"/>
          <w:color w:val="auto"/>
          <w:sz w:val="24"/>
          <w:highlight w:val="none"/>
        </w:rPr>
      </w:pPr>
      <w:bookmarkStart w:id="104" w:name="_Toc127930780"/>
      <w:bookmarkStart w:id="105" w:name="_Toc134955409"/>
      <w:r>
        <w:rPr>
          <w:rFonts w:hint="eastAsia" w:ascii="宋体" w:hAnsi="宋体" w:cs="宋体"/>
          <w:color w:val="auto"/>
          <w:sz w:val="24"/>
          <w:highlight w:val="none"/>
        </w:rPr>
        <w:t>1.关于关联企业的定义：法定代表人或单位负责人为同一个人或者存在控股、管理关系的不同单位,不得同时参加同一项目或同一子项目的投标。如同时参加，则评审时将同时被拒绝。</w:t>
      </w:r>
    </w:p>
    <w:p w14:paraId="08E283E2">
      <w:pPr>
        <w:pStyle w:val="7"/>
        <w:tabs>
          <w:tab w:val="left" w:pos="54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2.本项目不接受关联企业。</w:t>
      </w:r>
    </w:p>
    <w:bookmarkEnd w:id="104"/>
    <w:bookmarkEnd w:id="105"/>
    <w:p w14:paraId="54BA8631">
      <w:pPr>
        <w:pStyle w:val="6"/>
        <w:numPr>
          <w:ilvl w:val="1"/>
          <w:numId w:val="4"/>
        </w:numPr>
        <w:tabs>
          <w:tab w:val="clear" w:pos="851"/>
        </w:tabs>
        <w:spacing w:before="240" w:after="193" w:afterLines="50"/>
        <w:ind w:left="1134" w:hanging="709"/>
        <w:rPr>
          <w:rFonts w:hAnsi="宋体" w:cs="宋体"/>
          <w:b/>
          <w:color w:val="auto"/>
          <w:sz w:val="24"/>
          <w:highlight w:val="none"/>
        </w:rPr>
      </w:pPr>
      <w:r>
        <w:rPr>
          <w:rFonts w:hint="eastAsia" w:hAnsi="宋体" w:cs="宋体"/>
          <w:b/>
          <w:color w:val="auto"/>
          <w:sz w:val="24"/>
          <w:highlight w:val="none"/>
        </w:rPr>
        <w:t>关于分公司投标</w:t>
      </w:r>
    </w:p>
    <w:p w14:paraId="0107A192">
      <w:pPr>
        <w:pStyle w:val="6"/>
        <w:tabs>
          <w:tab w:val="clear" w:pos="851"/>
        </w:tabs>
        <w:ind w:firstLine="540" w:firstLineChars="225"/>
        <w:rPr>
          <w:rStyle w:val="66"/>
          <w:rFonts w:hAnsi="宋体" w:cs="宋体"/>
          <w:color w:val="auto"/>
          <w:sz w:val="24"/>
          <w:szCs w:val="24"/>
          <w:highlight w:val="none"/>
        </w:rPr>
      </w:pPr>
      <w:r>
        <w:rPr>
          <w:rStyle w:val="66"/>
          <w:rFonts w:hint="eastAsia" w:hAnsi="宋体" w:cs="宋体"/>
          <w:color w:val="auto"/>
          <w:sz w:val="24"/>
          <w:szCs w:val="24"/>
          <w:highlight w:val="none"/>
        </w:rPr>
        <w:t>分公司投标的，需提供具有法人资格的总公司的营业执照副本复印件及授权书，</w:t>
      </w:r>
      <w:r>
        <w:rPr>
          <w:rStyle w:val="66"/>
          <w:rFonts w:hint="eastAsia" w:hAnsi="宋体" w:cs="宋体"/>
          <w:b/>
          <w:color w:val="auto"/>
          <w:sz w:val="24"/>
          <w:szCs w:val="24"/>
          <w:highlight w:val="none"/>
        </w:rPr>
        <w:t>授权书须加盖总公司公章</w:t>
      </w:r>
      <w:r>
        <w:rPr>
          <w:rStyle w:val="66"/>
          <w:rFonts w:hint="eastAsia" w:hAnsi="宋体" w:cs="宋体"/>
          <w:color w:val="auto"/>
          <w:sz w:val="24"/>
          <w:szCs w:val="24"/>
          <w:highlight w:val="none"/>
        </w:rPr>
        <w:t>。总公司可就本项目或此类项目在一定范围或时间内出具授权书。已由总公司授权的，总公司取得的相关资质证书对分公司有效，法律法规或者行业另有规定的除外。</w:t>
      </w:r>
    </w:p>
    <w:p w14:paraId="6886C8DF">
      <w:pPr>
        <w:pStyle w:val="5"/>
        <w:numPr>
          <w:ilvl w:val="0"/>
          <w:numId w:val="4"/>
        </w:numPr>
        <w:ind w:left="567" w:hanging="27"/>
        <w:jc w:val="left"/>
        <w:rPr>
          <w:rFonts w:hAnsi="宋体"/>
          <w:b/>
          <w:color w:val="auto"/>
          <w:sz w:val="24"/>
          <w:highlight w:val="none"/>
        </w:rPr>
      </w:pPr>
      <w:bookmarkStart w:id="106" w:name="_Toc31129"/>
      <w:bookmarkStart w:id="107" w:name="_Toc30282"/>
      <w:bookmarkStart w:id="108" w:name="_Toc15068"/>
      <w:bookmarkStart w:id="109" w:name="_Toc22295583"/>
      <w:bookmarkStart w:id="110" w:name="_Toc23836"/>
      <w:bookmarkStart w:id="111" w:name="_Toc9474"/>
      <w:bookmarkStart w:id="112" w:name="_Toc134956124"/>
      <w:r>
        <w:rPr>
          <w:rFonts w:hint="eastAsia" w:hAnsi="宋体"/>
          <w:b/>
          <w:color w:val="auto"/>
          <w:sz w:val="24"/>
          <w:highlight w:val="none"/>
        </w:rPr>
        <w:t>质疑与投诉</w:t>
      </w:r>
      <w:bookmarkEnd w:id="106"/>
      <w:bookmarkEnd w:id="107"/>
      <w:bookmarkEnd w:id="108"/>
      <w:bookmarkEnd w:id="109"/>
      <w:bookmarkEnd w:id="110"/>
      <w:bookmarkEnd w:id="111"/>
      <w:bookmarkEnd w:id="112"/>
    </w:p>
    <w:p w14:paraId="753076EB">
      <w:pPr>
        <w:pStyle w:val="6"/>
        <w:tabs>
          <w:tab w:val="clear" w:pos="851"/>
        </w:tabs>
        <w:ind w:firstLine="540" w:firstLineChars="225"/>
        <w:rPr>
          <w:rStyle w:val="66"/>
          <w:rFonts w:hAnsi="宋体" w:cs="宋体" w:eastAsiaTheme="minorEastAsia"/>
          <w:color w:val="auto"/>
          <w:sz w:val="24"/>
          <w:szCs w:val="24"/>
          <w:highlight w:val="none"/>
        </w:rPr>
      </w:pPr>
      <w:r>
        <w:rPr>
          <w:rStyle w:val="66"/>
          <w:rFonts w:hint="eastAsia" w:asciiTheme="minorEastAsia" w:hAnsiTheme="minorEastAsia" w:eastAsiaTheme="minorEastAsia"/>
          <w:color w:val="auto"/>
          <w:sz w:val="24"/>
          <w:szCs w:val="24"/>
          <w:highlight w:val="none"/>
        </w:rPr>
        <w:t>1.投标人有质疑时，应当以书面形式（加盖投标人公章）在质疑有效期限内向采购人提交质疑书原件，逾期质疑无效。投标人以电话、传真或电邮形式提交的质疑属于无效质疑。质疑有效期限为：投标人认为采购文件、采购过程和中标结果使自己的权益受到损害的，可以在知道或者应知其权益受到损害之日起七个工作日内，以书面形式向采购人提出质疑。投标人应当在质疑有效期内一次性提出针对同一采购程序环节的质疑。</w:t>
      </w:r>
    </w:p>
    <w:p w14:paraId="06A0C4B6">
      <w:pPr>
        <w:pStyle w:val="6"/>
        <w:tabs>
          <w:tab w:val="clear" w:pos="851"/>
        </w:tabs>
        <w:ind w:firstLine="540" w:firstLineChars="225"/>
        <w:rPr>
          <w:rStyle w:val="66"/>
          <w:rFonts w:hAnsi="宋体" w:cs="宋体"/>
          <w:color w:val="auto"/>
          <w:sz w:val="24"/>
          <w:szCs w:val="24"/>
          <w:highlight w:val="none"/>
        </w:rPr>
      </w:pPr>
      <w:r>
        <w:rPr>
          <w:rStyle w:val="66"/>
          <w:rFonts w:hint="eastAsia" w:hAnsi="宋体" w:cs="宋体"/>
          <w:color w:val="auto"/>
          <w:sz w:val="24"/>
          <w:szCs w:val="24"/>
          <w:highlight w:val="none"/>
        </w:rPr>
        <w:t>2.质疑内容不得含有虚假、恶意成分。依据“谁主张谁举证”的原则，质疑者提供的质疑书应当包括下列主要内容：具体的质疑事项、事实依据及相关确凿的证明材料和注明事实的确切来源、投标人名称、联系人与联系电话、质疑时间，质疑书应当署名并由法定代表人/负责人或授权代表签字并加盖公章。采购人受理书面质疑书原件之日起，在规定的期限内作出答复。对于捏造事实、滥用维权扰乱采购秩序的恶意质疑者或举证不全查无实据被驳回次数在一年内达三次以上，将纳入不良行为记录名单并承担相应的法律责任。</w:t>
      </w:r>
    </w:p>
    <w:p w14:paraId="0FDCC985">
      <w:pPr>
        <w:pStyle w:val="6"/>
        <w:tabs>
          <w:tab w:val="clear" w:pos="851"/>
        </w:tabs>
        <w:ind w:firstLine="540" w:firstLineChars="225"/>
        <w:rPr>
          <w:rStyle w:val="66"/>
          <w:rFonts w:hAnsi="宋体" w:cs="宋体"/>
          <w:color w:val="auto"/>
          <w:sz w:val="24"/>
          <w:szCs w:val="24"/>
          <w:highlight w:val="none"/>
        </w:rPr>
      </w:pPr>
      <w:r>
        <w:rPr>
          <w:rStyle w:val="66"/>
          <w:rFonts w:hint="eastAsia" w:hAnsi="宋体" w:cs="宋体"/>
          <w:color w:val="auto"/>
          <w:sz w:val="24"/>
          <w:szCs w:val="24"/>
          <w:highlight w:val="none"/>
        </w:rPr>
        <w:t>3.采购人在收到质疑者的有效书面质疑后七个工作日内作出答复，但答复的内容不涉及商业秘密，质疑者对采购人的质疑答复不满意，或采购人未在规定期限内作出答复的，可以在答复期满后十个工作日内向同级或上级主管部门提出投诉。</w:t>
      </w:r>
    </w:p>
    <w:p w14:paraId="10803EC3">
      <w:pPr>
        <w:pStyle w:val="7"/>
        <w:spacing w:line="360" w:lineRule="auto"/>
        <w:rPr>
          <w:rStyle w:val="66"/>
          <w:rFonts w:ascii="宋体" w:hAnsi="宋体" w:cs="宋体"/>
          <w:color w:val="auto"/>
          <w:sz w:val="24"/>
          <w:szCs w:val="24"/>
          <w:highlight w:val="none"/>
        </w:rPr>
      </w:pPr>
      <w:r>
        <w:rPr>
          <w:rStyle w:val="66"/>
          <w:rFonts w:hint="eastAsia" w:ascii="宋体" w:hAnsi="宋体" w:cs="宋体"/>
          <w:color w:val="auto"/>
          <w:sz w:val="24"/>
          <w:szCs w:val="24"/>
          <w:highlight w:val="none"/>
        </w:rPr>
        <w:t>4.提交质疑函地点：</w:t>
      </w:r>
      <w:r>
        <w:rPr>
          <w:rStyle w:val="66"/>
          <w:rFonts w:hint="eastAsia" w:ascii="宋体" w:hAnsi="宋体" w:cs="宋体"/>
          <w:color w:val="auto"/>
          <w:sz w:val="24"/>
          <w:szCs w:val="24"/>
          <w:highlight w:val="none"/>
          <w:lang w:eastAsia="zh-CN"/>
        </w:rPr>
        <w:t>广州市海珠区琶洲大道17号之3</w:t>
      </w:r>
      <w:r>
        <w:rPr>
          <w:rStyle w:val="66"/>
          <w:rFonts w:hint="eastAsia" w:ascii="宋体" w:hAnsi="宋体" w:cs="宋体"/>
          <w:color w:val="auto"/>
          <w:sz w:val="24"/>
          <w:szCs w:val="24"/>
          <w:highlight w:val="none"/>
        </w:rPr>
        <w:t xml:space="preserve">。 </w:t>
      </w:r>
    </w:p>
    <w:p w14:paraId="640FE376">
      <w:pPr>
        <w:pStyle w:val="7"/>
        <w:spacing w:line="360" w:lineRule="auto"/>
        <w:rPr>
          <w:rStyle w:val="66"/>
          <w:rFonts w:ascii="宋体" w:hAnsi="宋体" w:cs="宋体"/>
          <w:color w:val="auto"/>
          <w:sz w:val="24"/>
          <w:szCs w:val="24"/>
          <w:highlight w:val="none"/>
        </w:rPr>
      </w:pPr>
      <w:r>
        <w:rPr>
          <w:rStyle w:val="66"/>
          <w:rFonts w:hint="eastAsia" w:ascii="宋体" w:hAnsi="宋体" w:cs="宋体"/>
          <w:color w:val="auto"/>
          <w:sz w:val="24"/>
          <w:szCs w:val="24"/>
          <w:highlight w:val="none"/>
        </w:rPr>
        <w:t>5.本次采购活动中，采购人作出的质疑答复等文件的送达方式为现场取件或邮寄。</w:t>
      </w:r>
    </w:p>
    <w:bookmarkEnd w:id="100"/>
    <w:bookmarkEnd w:id="101"/>
    <w:bookmarkEnd w:id="102"/>
    <w:bookmarkEnd w:id="103"/>
    <w:p w14:paraId="24C58139">
      <w:pPr>
        <w:pStyle w:val="5"/>
        <w:numPr>
          <w:ilvl w:val="0"/>
          <w:numId w:val="4"/>
        </w:numPr>
        <w:ind w:left="567" w:hanging="27"/>
        <w:jc w:val="left"/>
        <w:rPr>
          <w:rFonts w:hAnsi="宋体"/>
          <w:b/>
          <w:color w:val="auto"/>
          <w:sz w:val="24"/>
          <w:szCs w:val="24"/>
          <w:highlight w:val="none"/>
        </w:rPr>
      </w:pPr>
      <w:bookmarkStart w:id="113" w:name="_Toc98035086"/>
      <w:bookmarkStart w:id="114" w:name="_Toc101775116"/>
      <w:bookmarkStart w:id="115" w:name="_Toc506"/>
      <w:bookmarkStart w:id="116" w:name="_Toc41723923"/>
      <w:bookmarkStart w:id="117" w:name="_Toc46308681"/>
      <w:bookmarkStart w:id="118" w:name="_Toc46308525"/>
      <w:bookmarkStart w:id="119" w:name="_Toc9678"/>
      <w:bookmarkStart w:id="120" w:name="_Toc98579057"/>
      <w:bookmarkStart w:id="121" w:name="_Toc42394661"/>
      <w:bookmarkStart w:id="122" w:name="_Toc101771363"/>
      <w:bookmarkStart w:id="123" w:name="_Toc50276145"/>
      <w:bookmarkStart w:id="124" w:name="_Toc17236"/>
      <w:bookmarkStart w:id="125" w:name="_Toc98580281"/>
      <w:bookmarkStart w:id="126" w:name="_Toc98579598"/>
      <w:bookmarkStart w:id="127" w:name="_Toc101951249"/>
      <w:bookmarkStart w:id="128" w:name="_Toc101843116"/>
      <w:bookmarkStart w:id="129" w:name="_Toc175644387"/>
      <w:bookmarkStart w:id="130" w:name="_Toc98578999"/>
      <w:bookmarkStart w:id="131" w:name="_Toc41884693"/>
      <w:bookmarkStart w:id="132" w:name="_Toc5395"/>
      <w:bookmarkStart w:id="133" w:name="_Toc14381"/>
      <w:bookmarkStart w:id="134" w:name="_Toc50276193"/>
      <w:bookmarkStart w:id="135" w:name="_Toc42394504"/>
      <w:bookmarkStart w:id="136" w:name="_Toc42313159"/>
      <w:bookmarkStart w:id="137" w:name="_Toc22295584"/>
      <w:r>
        <w:rPr>
          <w:rFonts w:hint="eastAsia" w:hAnsi="宋体"/>
          <w:b/>
          <w:color w:val="auto"/>
          <w:sz w:val="24"/>
          <w:szCs w:val="24"/>
          <w:highlight w:val="none"/>
        </w:rPr>
        <w:t>投标文件</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1B2B9B3">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每套投标文件含正本1份，副本4份、电子版1份【内含贰套电子文档（一份投标文件正本盖章后的扫描件，一份可编辑电子文档。电子文档介质使用光盘/U盘，其中所有文件不做压缩处理、不留密码。）】，并标注投标人名称。</w:t>
      </w:r>
    </w:p>
    <w:p w14:paraId="43C8A382">
      <w:pPr>
        <w:pStyle w:val="68"/>
        <w:numPr>
          <w:ilvl w:val="0"/>
          <w:numId w:val="8"/>
        </w:numPr>
        <w:spacing w:line="360" w:lineRule="auto"/>
        <w:ind w:firstLineChars="0"/>
        <w:rPr>
          <w:rFonts w:ascii="宋体" w:hAnsi="宋体" w:cs="宋体"/>
          <w:b/>
          <w:color w:val="auto"/>
          <w:sz w:val="24"/>
          <w:szCs w:val="24"/>
          <w:highlight w:val="none"/>
        </w:rPr>
      </w:pPr>
      <w:bookmarkStart w:id="138" w:name="_Toc101775118"/>
      <w:bookmarkStart w:id="139" w:name="_Toc98579059"/>
      <w:bookmarkStart w:id="140" w:name="_Toc42313161"/>
      <w:bookmarkStart w:id="141" w:name="_Toc101951251"/>
      <w:bookmarkStart w:id="142" w:name="_Toc50276147"/>
      <w:bookmarkStart w:id="143" w:name="_Toc98579001"/>
      <w:bookmarkStart w:id="144" w:name="_Toc42394663"/>
      <w:bookmarkStart w:id="145" w:name="_Toc41723925"/>
      <w:bookmarkStart w:id="146" w:name="_Toc41884695"/>
      <w:bookmarkStart w:id="147" w:name="_Toc98580283"/>
      <w:bookmarkStart w:id="148" w:name="_Toc134956127"/>
      <w:bookmarkStart w:id="149" w:name="_Toc101843118"/>
      <w:bookmarkStart w:id="150" w:name="_Toc101771365"/>
      <w:bookmarkStart w:id="151" w:name="_Toc42394506"/>
      <w:bookmarkStart w:id="152" w:name="_Toc98579600"/>
      <w:r>
        <w:rPr>
          <w:rFonts w:hint="eastAsia" w:ascii="宋体" w:hAnsi="宋体" w:cs="宋体"/>
          <w:b/>
          <w:color w:val="auto"/>
          <w:sz w:val="24"/>
          <w:szCs w:val="24"/>
          <w:highlight w:val="none"/>
        </w:rPr>
        <w:t>投标文件的构成</w:t>
      </w:r>
    </w:p>
    <w:p w14:paraId="2BE3236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投标人编写的投标文件应包括下列部分：</w:t>
      </w:r>
    </w:p>
    <w:p w14:paraId="4F132CA9">
      <w:pPr>
        <w:pStyle w:val="68"/>
        <w:numPr>
          <w:ilvl w:val="0"/>
          <w:numId w:val="9"/>
        </w:numPr>
        <w:spacing w:line="360" w:lineRule="auto"/>
        <w:ind w:firstLineChars="0"/>
        <w:rPr>
          <w:rFonts w:ascii="宋体" w:hAnsi="宋体" w:cs="宋体"/>
          <w:color w:val="auto"/>
          <w:sz w:val="24"/>
          <w:szCs w:val="24"/>
          <w:highlight w:val="none"/>
        </w:rPr>
      </w:pPr>
      <w:r>
        <w:rPr>
          <w:rFonts w:hint="eastAsia" w:ascii="宋体" w:hAnsi="宋体" w:cs="宋体"/>
          <w:color w:val="auto"/>
          <w:sz w:val="24"/>
          <w:szCs w:val="24"/>
          <w:highlight w:val="none"/>
        </w:rPr>
        <w:t>单独封装的开标信封（标明“仅供开标用”），信封内附资料如下：</w:t>
      </w:r>
    </w:p>
    <w:p w14:paraId="57B00243">
      <w:pPr>
        <w:spacing w:line="360" w:lineRule="auto"/>
        <w:ind w:left="480"/>
        <w:rPr>
          <w:rFonts w:ascii="宋体" w:hAnsi="宋体" w:cs="宋体"/>
          <w:color w:val="auto"/>
          <w:sz w:val="24"/>
          <w:szCs w:val="24"/>
          <w:highlight w:val="none"/>
        </w:rPr>
      </w:pPr>
      <w:r>
        <w:rPr>
          <w:rFonts w:hint="eastAsia" w:ascii="宋体" w:hAnsi="宋体" w:cs="宋体"/>
          <w:color w:val="auto"/>
          <w:sz w:val="24"/>
          <w:szCs w:val="24"/>
          <w:highlight w:val="none"/>
        </w:rPr>
        <w:t>（1）《开标一览表》（见第五章投标文件附件6）；</w:t>
      </w:r>
    </w:p>
    <w:p w14:paraId="3EDB7C4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（2）《资格声明》及附件（见第五章投标文件附件5）；</w:t>
      </w:r>
    </w:p>
    <w:p w14:paraId="6409277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（3）法定代表人证明书（见第五章投标文件附件7）、法定代表人身份证复印件、授权委托证明书（见第五章投标文件附件8）及授权委托人身份证复印件；其中</w:t>
      </w:r>
      <w:r>
        <w:rPr>
          <w:rFonts w:hint="eastAsia" w:ascii="宋体" w:hAnsi="宋体" w:cs="宋体"/>
          <w:color w:val="auto"/>
          <w:sz w:val="24"/>
          <w:szCs w:val="24"/>
          <w:highlight w:val="none"/>
          <w:lang w:val="zh-CN"/>
        </w:rPr>
        <w:t>法定代表人参加开标会的，可不提交</w:t>
      </w:r>
      <w:r>
        <w:rPr>
          <w:rFonts w:hint="eastAsia" w:ascii="宋体" w:hAnsi="宋体" w:cs="宋体"/>
          <w:color w:val="auto"/>
          <w:sz w:val="24"/>
          <w:szCs w:val="24"/>
          <w:highlight w:val="none"/>
        </w:rPr>
        <w:t>授权委托证明书、授权委托人身份证复印件</w:t>
      </w:r>
      <w:r>
        <w:rPr>
          <w:rFonts w:hint="eastAsia" w:ascii="宋体" w:hAnsi="宋体" w:cs="宋体"/>
          <w:color w:val="auto"/>
          <w:sz w:val="24"/>
          <w:szCs w:val="24"/>
          <w:highlight w:val="none"/>
          <w:lang w:val="zh-CN"/>
        </w:rPr>
        <w:t>。</w:t>
      </w:r>
    </w:p>
    <w:p w14:paraId="307E73E2">
      <w:pPr>
        <w:pStyle w:val="68"/>
        <w:spacing w:line="360" w:lineRule="auto"/>
        <w:ind w:left="426" w:firstLine="0" w:firstLineChars="0"/>
        <w:rPr>
          <w:rFonts w:ascii="宋体" w:hAnsi="宋体" w:cs="宋体"/>
          <w:color w:val="auto"/>
          <w:sz w:val="24"/>
          <w:szCs w:val="24"/>
          <w:highlight w:val="none"/>
        </w:rPr>
      </w:pPr>
      <w:r>
        <w:rPr>
          <w:rFonts w:hint="eastAsia" w:ascii="宋体" w:hAnsi="宋体" w:cs="宋体"/>
          <w:b/>
          <w:color w:val="auto"/>
          <w:sz w:val="24"/>
          <w:szCs w:val="24"/>
          <w:highlight w:val="none"/>
        </w:rPr>
        <w:t>（上述文件在投标文件中也均应提供）</w:t>
      </w:r>
    </w:p>
    <w:p w14:paraId="2F578429">
      <w:pPr>
        <w:pStyle w:val="68"/>
        <w:numPr>
          <w:ilvl w:val="0"/>
          <w:numId w:val="9"/>
        </w:numPr>
        <w:spacing w:line="360" w:lineRule="auto"/>
        <w:ind w:firstLineChars="0"/>
        <w:rPr>
          <w:rFonts w:ascii="宋体" w:hAnsi="宋体" w:cs="宋体"/>
          <w:color w:val="auto"/>
          <w:sz w:val="24"/>
          <w:szCs w:val="24"/>
          <w:highlight w:val="none"/>
        </w:rPr>
      </w:pPr>
      <w:r>
        <w:rPr>
          <w:rFonts w:hint="eastAsia" w:ascii="宋体" w:hAnsi="宋体" w:cs="宋体"/>
          <w:color w:val="auto"/>
          <w:sz w:val="24"/>
          <w:szCs w:val="24"/>
          <w:highlight w:val="none"/>
        </w:rPr>
        <w:t>按第五章 投标文件格式提供的响应文件，包括但不限于下列部分：</w:t>
      </w:r>
    </w:p>
    <w:p w14:paraId="1C982CFC">
      <w:pPr>
        <w:pStyle w:val="68"/>
        <w:spacing w:line="360" w:lineRule="auto"/>
        <w:ind w:left="567"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（1）按采购文件第五章投标文件格式提供全面的响应文件；</w:t>
      </w:r>
    </w:p>
    <w:p w14:paraId="69C0F14E">
      <w:pPr>
        <w:pStyle w:val="68"/>
        <w:spacing w:line="360" w:lineRule="auto"/>
        <w:ind w:left="567"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GB"/>
        </w:rPr>
        <w:t>技术和服务响应方案</w:t>
      </w:r>
      <w:r>
        <w:rPr>
          <w:rFonts w:hint="eastAsia" w:ascii="宋体" w:hAnsi="宋体" w:cs="宋体"/>
          <w:color w:val="auto"/>
          <w:sz w:val="24"/>
          <w:szCs w:val="24"/>
          <w:highlight w:val="none"/>
        </w:rPr>
        <w:t>；</w:t>
      </w:r>
    </w:p>
    <w:p w14:paraId="359726B4">
      <w:pPr>
        <w:pStyle w:val="68"/>
        <w:spacing w:line="360" w:lineRule="auto"/>
        <w:ind w:left="567"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（3）实质性响应条款一览表；</w:t>
      </w:r>
    </w:p>
    <w:p w14:paraId="465D8BCD">
      <w:pPr>
        <w:pStyle w:val="68"/>
        <w:numPr>
          <w:ilvl w:val="255"/>
          <w:numId w:val="0"/>
        </w:numPr>
        <w:spacing w:line="360" w:lineRule="auto"/>
        <w:ind w:left="426"/>
        <w:rPr>
          <w:rFonts w:ascii="宋体" w:hAnsi="宋体" w:cs="宋体"/>
          <w:b/>
          <w:color w:val="auto"/>
          <w:sz w:val="24"/>
          <w:szCs w:val="24"/>
          <w:highlight w:val="none"/>
        </w:rPr>
      </w:pPr>
      <w:r>
        <w:rPr>
          <w:rFonts w:hint="eastAsia" w:ascii="宋体" w:hAnsi="宋体" w:cs="宋体"/>
          <w:color w:val="auto"/>
          <w:sz w:val="24"/>
          <w:szCs w:val="24"/>
          <w:highlight w:val="none"/>
        </w:rPr>
        <w:t xml:space="preserve"> （4）按采购文件的要求出具的资格证明文件。</w:t>
      </w:r>
    </w:p>
    <w:p w14:paraId="7AAB2B47">
      <w:pPr>
        <w:pStyle w:val="68"/>
        <w:numPr>
          <w:ilvl w:val="0"/>
          <w:numId w:val="8"/>
        </w:numPr>
        <w:spacing w:line="360" w:lineRule="auto"/>
        <w:ind w:firstLineChars="0"/>
        <w:rPr>
          <w:rFonts w:ascii="宋体" w:hAnsi="宋体" w:cs="宋体"/>
          <w:color w:val="auto"/>
          <w:sz w:val="24"/>
          <w:szCs w:val="24"/>
          <w:highlight w:val="none"/>
        </w:rPr>
      </w:pPr>
      <w:r>
        <w:rPr>
          <w:rFonts w:hint="eastAsia" w:ascii="宋体" w:hAnsi="宋体" w:cs="宋体"/>
          <w:b/>
          <w:color w:val="auto"/>
          <w:sz w:val="24"/>
          <w:szCs w:val="24"/>
          <w:highlight w:val="none"/>
        </w:rPr>
        <w:t>投标文件要求</w:t>
      </w:r>
    </w:p>
    <w:p w14:paraId="21B6C9C3">
      <w:pPr>
        <w:pStyle w:val="68"/>
        <w:numPr>
          <w:ilvl w:val="255"/>
          <w:numId w:val="0"/>
        </w:num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1.投标文件应装订牢固不可拆卸（如：胶订），如因装订不牢固导致的任何损失由投标人承担。</w:t>
      </w:r>
    </w:p>
    <w:p w14:paraId="61B4181A">
      <w:pPr>
        <w:pStyle w:val="68"/>
        <w:numPr>
          <w:ilvl w:val="255"/>
          <w:numId w:val="0"/>
        </w:numPr>
        <w:spacing w:line="360" w:lineRule="auto"/>
        <w:ind w:left="426"/>
        <w:rPr>
          <w:rFonts w:ascii="宋体" w:hAnsi="宋体" w:cs="宋体"/>
          <w:color w:val="auto"/>
          <w:sz w:val="24"/>
          <w:szCs w:val="24"/>
          <w:highlight w:val="none"/>
        </w:rPr>
      </w:pPr>
      <w:r>
        <w:rPr>
          <w:rFonts w:hint="eastAsia" w:ascii="宋体" w:hAnsi="宋体" w:cs="宋体"/>
          <w:color w:val="auto"/>
          <w:sz w:val="24"/>
          <w:szCs w:val="24"/>
          <w:highlight w:val="none"/>
        </w:rPr>
        <w:t>2.所有投标文件（除特殊规格的图纸等外）应按A4规格制作，采用双面打印或复印。</w:t>
      </w:r>
    </w:p>
    <w:p w14:paraId="6D26DE79">
      <w:pPr>
        <w:pStyle w:val="6"/>
        <w:tabs>
          <w:tab w:val="clear" w:pos="851"/>
        </w:tabs>
        <w:spacing w:before="387" w:beforeLines="100" w:after="193" w:afterLines="50"/>
        <w:ind w:left="425"/>
        <w:rPr>
          <w:rFonts w:hAnsi="宋体" w:cs="宋体"/>
          <w:b/>
          <w:color w:val="auto"/>
          <w:sz w:val="24"/>
          <w:szCs w:val="24"/>
          <w:highlight w:val="none"/>
        </w:rPr>
      </w:pPr>
      <w:r>
        <w:rPr>
          <w:rFonts w:hint="eastAsia" w:hAnsi="宋体" w:cs="宋体"/>
          <w:b/>
          <w:color w:val="auto"/>
          <w:sz w:val="24"/>
          <w:szCs w:val="24"/>
          <w:highlight w:val="none"/>
        </w:rPr>
        <w:t>（三）投标文件的编写</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71CAD80A">
      <w:pPr>
        <w:pStyle w:val="6"/>
        <w:numPr>
          <w:ilvl w:val="2"/>
          <w:numId w:val="10"/>
        </w:numPr>
        <w:tabs>
          <w:tab w:val="left" w:pos="900"/>
          <w:tab w:val="clear" w:pos="851"/>
        </w:tabs>
        <w:ind w:left="0" w:firstLine="540"/>
        <w:rPr>
          <w:rFonts w:hAnsi="宋体" w:cs="宋体"/>
          <w:color w:val="auto"/>
          <w:sz w:val="24"/>
          <w:szCs w:val="24"/>
          <w:highlight w:val="none"/>
        </w:rPr>
      </w:pPr>
      <w:r>
        <w:rPr>
          <w:rFonts w:hint="eastAsia" w:hAnsi="宋体" w:cs="宋体"/>
          <w:color w:val="auto"/>
          <w:sz w:val="24"/>
          <w:highlight w:val="none"/>
        </w:rPr>
        <w:t>投标人不得将项目内容拆开投标，否则其报价将被视为非实质性响应。</w:t>
      </w:r>
    </w:p>
    <w:p w14:paraId="1FD30585">
      <w:pPr>
        <w:pStyle w:val="6"/>
        <w:numPr>
          <w:ilvl w:val="2"/>
          <w:numId w:val="10"/>
        </w:numPr>
        <w:tabs>
          <w:tab w:val="left" w:pos="900"/>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投标人应按采购文件的规定及附件要求的内容和格式完整地填写和提供资料。</w:t>
      </w:r>
      <w:r>
        <w:rPr>
          <w:rStyle w:val="66"/>
          <w:rFonts w:hint="eastAsia" w:hAnsi="宋体" w:cs="宋体"/>
          <w:color w:val="auto"/>
          <w:sz w:val="24"/>
          <w:szCs w:val="24"/>
          <w:highlight w:val="none"/>
        </w:rPr>
        <w:t>投标人必须对投标文件所提供的全部资料的真实性承担法律责任，并无条件接受采购人对其中任何资料进行核实（核对原件）的要求</w:t>
      </w:r>
      <w:r>
        <w:rPr>
          <w:rFonts w:hint="eastAsia" w:hAnsi="宋体" w:cs="宋体"/>
          <w:color w:val="auto"/>
          <w:sz w:val="24"/>
          <w:szCs w:val="24"/>
          <w:highlight w:val="none"/>
        </w:rPr>
        <w:t>。</w:t>
      </w:r>
      <w:r>
        <w:rPr>
          <w:rStyle w:val="66"/>
          <w:rFonts w:hint="eastAsia" w:hAnsi="宋体" w:cs="宋体"/>
          <w:color w:val="auto"/>
          <w:sz w:val="24"/>
          <w:szCs w:val="24"/>
          <w:highlight w:val="none"/>
        </w:rPr>
        <w:t xml:space="preserve"> 采购人核对发现有不一致或投标人无正当理由不按时提供原件的，按中标无效处理。</w:t>
      </w:r>
    </w:p>
    <w:p w14:paraId="3C59A346">
      <w:pPr>
        <w:pStyle w:val="6"/>
        <w:numPr>
          <w:ilvl w:val="2"/>
          <w:numId w:val="10"/>
        </w:numPr>
        <w:tabs>
          <w:tab w:val="left" w:pos="900"/>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采购文件中，凡标有“★”的地方均为实质性响应条款，投标人若有一项带“★”的条款未响应或不满足，将按无效投标处理。</w:t>
      </w:r>
    </w:p>
    <w:p w14:paraId="14B11C98">
      <w:pPr>
        <w:pStyle w:val="6"/>
        <w:numPr>
          <w:ilvl w:val="2"/>
          <w:numId w:val="10"/>
        </w:numPr>
        <w:tabs>
          <w:tab w:val="left" w:pos="900"/>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投标人须对采购文件的对应要求给予唯一的实质性响应，否则将视为不响应。</w:t>
      </w:r>
    </w:p>
    <w:p w14:paraId="3E7DA432">
      <w:pPr>
        <w:pStyle w:val="6"/>
        <w:numPr>
          <w:ilvl w:val="2"/>
          <w:numId w:val="10"/>
        </w:numPr>
        <w:tabs>
          <w:tab w:val="left" w:pos="900"/>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除在采购文件另有规定外，计量单位应使用中华人民共和国法定计量单位，以人民币填报所有报价。</w:t>
      </w:r>
    </w:p>
    <w:p w14:paraId="30350A6F">
      <w:pPr>
        <w:pStyle w:val="6"/>
        <w:numPr>
          <w:ilvl w:val="2"/>
          <w:numId w:val="10"/>
        </w:numPr>
        <w:tabs>
          <w:tab w:val="left" w:pos="900"/>
          <w:tab w:val="clear" w:pos="851"/>
        </w:tabs>
        <w:ind w:left="0" w:firstLine="540"/>
        <w:rPr>
          <w:rFonts w:hAnsi="宋体" w:cs="宋体"/>
          <w:color w:val="auto"/>
          <w:szCs w:val="21"/>
          <w:highlight w:val="none"/>
        </w:rPr>
      </w:pPr>
      <w:r>
        <w:rPr>
          <w:rFonts w:hint="eastAsia" w:hAnsi="宋体" w:cs="宋体"/>
          <w:color w:val="auto"/>
          <w:sz w:val="24"/>
          <w:szCs w:val="24"/>
          <w:highlight w:val="none"/>
        </w:rPr>
        <w:t>投标人必须按采购文件指定的格式填写各种报价，各报价应计算正确。</w:t>
      </w:r>
    </w:p>
    <w:p w14:paraId="56F3703D">
      <w:pPr>
        <w:pStyle w:val="6"/>
        <w:numPr>
          <w:ilvl w:val="2"/>
          <w:numId w:val="10"/>
        </w:numPr>
        <w:tabs>
          <w:tab w:val="left" w:pos="900"/>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投标文件以及投标人与采购人就有关投标的往来函电均应使用中文。投标人提交的支持性文件和印制的文件可以用另一种语言，但相应内容应翻译成中文，在解释投标文件时以中文文本为准。</w:t>
      </w:r>
    </w:p>
    <w:p w14:paraId="7BAFEB72">
      <w:pPr>
        <w:pStyle w:val="6"/>
        <w:numPr>
          <w:ilvl w:val="2"/>
          <w:numId w:val="10"/>
        </w:numPr>
        <w:tabs>
          <w:tab w:val="clear" w:pos="851"/>
        </w:tabs>
        <w:ind w:left="0" w:firstLine="540"/>
        <w:rPr>
          <w:rFonts w:hAnsi="宋体" w:cs="宋体"/>
          <w:color w:val="auto"/>
          <w:sz w:val="24"/>
          <w:szCs w:val="24"/>
          <w:highlight w:val="none"/>
        </w:rPr>
      </w:pPr>
      <w:r>
        <w:rPr>
          <w:rFonts w:hint="eastAsia" w:hAnsi="宋体" w:cs="宋体"/>
          <w:color w:val="auto"/>
          <w:sz w:val="24"/>
          <w:szCs w:val="24"/>
          <w:highlight w:val="none"/>
        </w:rPr>
        <w:t>投标文件必须编页码，页码必须连续。</w:t>
      </w:r>
    </w:p>
    <w:p w14:paraId="78C062CD">
      <w:pPr>
        <w:pStyle w:val="6"/>
        <w:tabs>
          <w:tab w:val="clear" w:pos="851"/>
        </w:tabs>
        <w:spacing w:before="387" w:beforeLines="100" w:after="193" w:afterLines="50"/>
        <w:ind w:left="425"/>
        <w:rPr>
          <w:rFonts w:hAnsi="宋体" w:cs="宋体"/>
          <w:b/>
          <w:color w:val="auto"/>
          <w:sz w:val="24"/>
          <w:szCs w:val="24"/>
          <w:highlight w:val="none"/>
        </w:rPr>
      </w:pPr>
      <w:bookmarkStart w:id="153" w:name="_Toc101951252"/>
      <w:bookmarkStart w:id="154" w:name="_Toc101843119"/>
      <w:bookmarkStart w:id="155" w:name="_Toc101775119"/>
      <w:bookmarkStart w:id="156" w:name="_Toc134956128"/>
      <w:bookmarkStart w:id="157" w:name="_Toc101771366"/>
      <w:r>
        <w:rPr>
          <w:rFonts w:hint="eastAsia" w:hAnsi="宋体" w:cs="宋体"/>
          <w:b/>
          <w:color w:val="auto"/>
          <w:sz w:val="24"/>
          <w:szCs w:val="24"/>
          <w:highlight w:val="none"/>
        </w:rPr>
        <w:t>（四）投标文件的标记和密封</w:t>
      </w:r>
      <w:bookmarkEnd w:id="153"/>
      <w:bookmarkEnd w:id="154"/>
      <w:bookmarkEnd w:id="155"/>
      <w:bookmarkEnd w:id="156"/>
      <w:bookmarkEnd w:id="157"/>
    </w:p>
    <w:p w14:paraId="6BF4EA1B">
      <w:pPr>
        <w:spacing w:line="360" w:lineRule="auto"/>
        <w:ind w:firstLine="480" w:firstLineChars="200"/>
        <w:rPr>
          <w:rFonts w:ascii="宋体" w:hAnsi="宋体" w:cs="宋体"/>
          <w:color w:val="auto"/>
          <w:sz w:val="24"/>
          <w:szCs w:val="24"/>
          <w:highlight w:val="none"/>
        </w:rPr>
      </w:pPr>
      <w:bookmarkStart w:id="158" w:name="_Toc134955416"/>
      <w:r>
        <w:rPr>
          <w:rFonts w:hint="eastAsia" w:ascii="宋体" w:hAnsi="宋体" w:cs="宋体"/>
          <w:color w:val="auto"/>
          <w:sz w:val="24"/>
          <w:szCs w:val="24"/>
          <w:highlight w:val="none"/>
        </w:rPr>
        <w:t>1．投标文件的任何涂改或修正，必须由投标人代表签字确认。</w:t>
      </w:r>
      <w:bookmarkEnd w:id="158"/>
      <w:bookmarkStart w:id="159" w:name="_Toc134955417"/>
    </w:p>
    <w:p w14:paraId="1E88748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2．投标文件封面标明“正本”或 “副本”。副本可采用正本的复印件，一旦正本与副本不符，以正本为准。</w:t>
      </w:r>
      <w:bookmarkEnd w:id="159"/>
      <w:bookmarkStart w:id="160" w:name="_Toc134955418"/>
      <w:r>
        <w:rPr>
          <w:rFonts w:hint="eastAsia" w:ascii="宋体" w:hAnsi="宋体" w:cs="宋体"/>
          <w:color w:val="auto"/>
          <w:sz w:val="24"/>
          <w:szCs w:val="24"/>
          <w:highlight w:val="none"/>
        </w:rPr>
        <w:t>正本单独封装，副本全部一起封装。封套表面标明 “正本”或“副本”，在每一封套上按以下顺序标明如下字样：</w:t>
      </w:r>
    </w:p>
    <w:tbl>
      <w:tblPr>
        <w:tblStyle w:val="41"/>
        <w:tblW w:w="7916" w:type="dxa"/>
        <w:jc w:val="center"/>
        <w:shd w:val="clear" w:color="auto" w:fill="E6E6E6"/>
        <w:tblLayout w:type="fixed"/>
        <w:tblCellMar>
          <w:top w:w="0" w:type="dxa"/>
          <w:left w:w="108" w:type="dxa"/>
          <w:bottom w:w="0" w:type="dxa"/>
          <w:right w:w="108" w:type="dxa"/>
        </w:tblCellMar>
      </w:tblPr>
      <w:tblGrid>
        <w:gridCol w:w="7916"/>
      </w:tblGrid>
      <w:tr w14:paraId="4A3E88D4">
        <w:tblPrEx>
          <w:shd w:val="clear" w:color="auto" w:fill="E6E6E6"/>
          <w:tblCellMar>
            <w:top w:w="0" w:type="dxa"/>
            <w:left w:w="108" w:type="dxa"/>
            <w:bottom w:w="0" w:type="dxa"/>
            <w:right w:w="108" w:type="dxa"/>
          </w:tblCellMar>
        </w:tblPrEx>
        <w:trPr>
          <w:trHeight w:val="462" w:hRule="atLeast"/>
          <w:jc w:val="center"/>
        </w:trPr>
        <w:tc>
          <w:tcPr>
            <w:tcW w:w="7916" w:type="dxa"/>
            <w:shd w:val="clear" w:color="auto" w:fill="E6E6E6"/>
          </w:tcPr>
          <w:p w14:paraId="11A77B7E">
            <w:pPr>
              <w:spacing w:line="360" w:lineRule="auto"/>
              <w:rPr>
                <w:rFonts w:hint="eastAsia" w:ascii="宋体" w:hAnsi="宋体" w:eastAsia="宋体" w:cs="宋体"/>
                <w:b/>
                <w:color w:val="auto"/>
                <w:sz w:val="24"/>
                <w:highlight w:val="none"/>
                <w:lang w:eastAsia="zh-CN"/>
              </w:rPr>
            </w:pPr>
            <w:r>
              <w:rPr>
                <w:rFonts w:hint="eastAsia" w:ascii="宋体" w:hAnsi="宋体" w:cs="宋体"/>
                <w:b/>
                <w:color w:val="auto"/>
                <w:sz w:val="24"/>
                <w:highlight w:val="none"/>
              </w:rPr>
              <w:t>收件人：</w:t>
            </w:r>
            <w:r>
              <w:rPr>
                <w:rFonts w:hint="eastAsia" w:ascii="宋体" w:hAnsi="宋体" w:cs="宋体"/>
                <w:b/>
                <w:color w:val="auto"/>
                <w:sz w:val="24"/>
                <w:highlight w:val="none"/>
                <w:lang w:eastAsia="zh-CN"/>
              </w:rPr>
              <w:t>广州市农科所科技发展有限公司</w:t>
            </w:r>
            <w:r>
              <w:rPr>
                <w:rFonts w:hint="eastAsia" w:ascii="宋体" w:hAnsi="宋体" w:cs="宋体"/>
                <w:b/>
                <w:color w:val="auto"/>
                <w:sz w:val="24"/>
                <w:highlight w:val="none"/>
              </w:rPr>
              <w:t>/</w:t>
            </w:r>
            <w:r>
              <w:rPr>
                <w:rFonts w:hint="eastAsia" w:ascii="宋体" w:hAnsi="宋体" w:cs="宋体"/>
                <w:b/>
                <w:color w:val="auto"/>
                <w:sz w:val="24"/>
                <w:highlight w:val="none"/>
                <w:lang w:eastAsia="zh-CN"/>
              </w:rPr>
              <w:t>广州众源建设管理有限公司</w:t>
            </w:r>
          </w:p>
          <w:p w14:paraId="4BA4D989">
            <w:pPr>
              <w:spacing w:line="360" w:lineRule="auto"/>
              <w:rPr>
                <w:rFonts w:ascii="宋体" w:hAnsi="宋体" w:cs="宋体"/>
                <w:b/>
                <w:color w:val="auto"/>
                <w:sz w:val="24"/>
                <w:highlight w:val="none"/>
              </w:rPr>
            </w:pPr>
            <w:r>
              <w:rPr>
                <w:rFonts w:hint="eastAsia" w:ascii="宋体" w:hAnsi="宋体" w:cs="宋体"/>
                <w:b/>
                <w:color w:val="auto"/>
                <w:sz w:val="24"/>
                <w:highlight w:val="none"/>
              </w:rPr>
              <w:t>项目名称：</w:t>
            </w:r>
            <w:r>
              <w:rPr>
                <w:rFonts w:hint="eastAsia" w:ascii="宋体" w:hAnsi="宋体" w:cs="宋体"/>
                <w:b/>
                <w:color w:val="auto"/>
                <w:sz w:val="24"/>
                <w:highlight w:val="none"/>
                <w:lang w:eastAsia="zh-CN"/>
              </w:rPr>
              <w:t>广州市农科院鲜蔬火锅餐厅VI品牌策划设计全案整装招标</w:t>
            </w:r>
          </w:p>
          <w:p w14:paraId="63B401C6">
            <w:pPr>
              <w:spacing w:line="360" w:lineRule="auto"/>
              <w:rPr>
                <w:rFonts w:ascii="宋体" w:hAnsi="宋体" w:cs="宋体"/>
                <w:b/>
                <w:color w:val="auto"/>
                <w:sz w:val="24"/>
                <w:highlight w:val="none"/>
              </w:rPr>
            </w:pPr>
            <w:r>
              <w:rPr>
                <w:rFonts w:hint="eastAsia" w:ascii="宋体" w:hAnsi="宋体" w:cs="宋体"/>
                <w:b/>
                <w:color w:val="auto"/>
                <w:sz w:val="24"/>
                <w:highlight w:val="none"/>
              </w:rPr>
              <w:t>项目编号：</w:t>
            </w:r>
            <w:r>
              <w:rPr>
                <w:rFonts w:hint="eastAsia" w:ascii="宋体" w:hAnsi="宋体" w:cs="宋体"/>
                <w:b/>
                <w:color w:val="auto"/>
                <w:sz w:val="24"/>
                <w:highlight w:val="none"/>
                <w:lang w:eastAsia="zh-CN"/>
              </w:rPr>
              <w:t>ZYNK20250501</w:t>
            </w:r>
            <w:r>
              <w:rPr>
                <w:rFonts w:hint="eastAsia" w:ascii="宋体" w:hAnsi="宋体" w:cs="宋体"/>
                <w:bCs/>
                <w:color w:val="auto"/>
                <w:sz w:val="24"/>
                <w:highlight w:val="none"/>
              </w:rPr>
              <w:t xml:space="preserve">   </w:t>
            </w:r>
          </w:p>
          <w:p w14:paraId="2D0D1AF0">
            <w:pPr>
              <w:spacing w:line="360" w:lineRule="auto"/>
              <w:rPr>
                <w:rFonts w:ascii="宋体" w:hAnsi="宋体" w:cs="宋体"/>
                <w:b/>
                <w:color w:val="auto"/>
                <w:sz w:val="24"/>
                <w:highlight w:val="none"/>
              </w:rPr>
            </w:pPr>
            <w:r>
              <w:rPr>
                <w:rFonts w:hint="eastAsia" w:ascii="宋体" w:hAnsi="宋体" w:cs="宋体"/>
                <w:b/>
                <w:color w:val="auto"/>
                <w:sz w:val="24"/>
                <w:highlight w:val="none"/>
              </w:rPr>
              <w:t>投标人名称：</w:t>
            </w:r>
          </w:p>
          <w:p w14:paraId="2B6070D5">
            <w:pPr>
              <w:spacing w:line="360" w:lineRule="auto"/>
              <w:rPr>
                <w:rFonts w:ascii="宋体" w:hAnsi="宋体" w:cs="宋体"/>
                <w:b/>
                <w:color w:val="auto"/>
                <w:sz w:val="24"/>
                <w:highlight w:val="none"/>
              </w:rPr>
            </w:pPr>
            <w:r>
              <w:rPr>
                <w:rFonts w:hint="eastAsia" w:ascii="宋体" w:hAnsi="宋体" w:cs="宋体"/>
                <w:b/>
                <w:color w:val="auto"/>
                <w:sz w:val="24"/>
                <w:highlight w:val="none"/>
              </w:rPr>
              <w:t>投标人地址：</w:t>
            </w:r>
          </w:p>
          <w:p w14:paraId="329E2BD8">
            <w:pPr>
              <w:spacing w:line="360" w:lineRule="auto"/>
              <w:rPr>
                <w:rFonts w:ascii="宋体" w:hAnsi="宋体" w:cs="宋体"/>
                <w:b/>
                <w:color w:val="auto"/>
                <w:sz w:val="24"/>
                <w:highlight w:val="none"/>
              </w:rPr>
            </w:pPr>
            <w:r>
              <w:rPr>
                <w:rFonts w:hint="eastAsia" w:ascii="宋体" w:hAnsi="宋体" w:cs="宋体"/>
                <w:b/>
                <w:color w:val="auto"/>
                <w:sz w:val="24"/>
                <w:highlight w:val="none"/>
              </w:rPr>
              <w:t>联系人：</w:t>
            </w:r>
          </w:p>
          <w:p w14:paraId="5D2FDEDD">
            <w:pPr>
              <w:spacing w:line="360" w:lineRule="auto"/>
              <w:rPr>
                <w:rFonts w:ascii="宋体" w:hAnsi="宋体" w:cs="宋体"/>
                <w:b/>
                <w:color w:val="auto"/>
                <w:sz w:val="24"/>
                <w:szCs w:val="24"/>
                <w:highlight w:val="none"/>
              </w:rPr>
            </w:pPr>
            <w:r>
              <w:rPr>
                <w:rFonts w:hint="eastAsia" w:ascii="宋体" w:hAnsi="宋体" w:cs="宋体"/>
                <w:b/>
                <w:color w:val="auto"/>
                <w:sz w:val="24"/>
                <w:highlight w:val="none"/>
              </w:rPr>
              <w:t>联系电话：</w:t>
            </w:r>
          </w:p>
        </w:tc>
      </w:tr>
      <w:bookmarkEnd w:id="160"/>
    </w:tbl>
    <w:p w14:paraId="38BA2BC8">
      <w:pPr>
        <w:pStyle w:val="6"/>
        <w:tabs>
          <w:tab w:val="clear" w:pos="851"/>
        </w:tabs>
        <w:spacing w:before="387" w:beforeLines="100" w:after="193" w:afterLines="50"/>
        <w:ind w:left="425"/>
        <w:rPr>
          <w:rFonts w:hAnsi="宋体" w:cs="宋体"/>
          <w:b/>
          <w:color w:val="auto"/>
          <w:sz w:val="24"/>
          <w:szCs w:val="24"/>
          <w:highlight w:val="none"/>
        </w:rPr>
      </w:pPr>
      <w:bookmarkStart w:id="161" w:name="_Toc134956130"/>
      <w:bookmarkStart w:id="162" w:name="_Toc101951254"/>
      <w:bookmarkStart w:id="163" w:name="_Toc101771368"/>
      <w:bookmarkStart w:id="164" w:name="_Toc101843121"/>
      <w:bookmarkStart w:id="165" w:name="_Toc101775121"/>
      <w:r>
        <w:rPr>
          <w:rFonts w:hint="eastAsia" w:hAnsi="宋体" w:cs="宋体"/>
          <w:b/>
          <w:color w:val="auto"/>
          <w:sz w:val="24"/>
          <w:szCs w:val="24"/>
          <w:highlight w:val="none"/>
        </w:rPr>
        <w:t>（五）投标文件的递交</w:t>
      </w:r>
    </w:p>
    <w:p w14:paraId="406D44C9">
      <w:pPr>
        <w:pStyle w:val="6"/>
        <w:tabs>
          <w:tab w:val="clear" w:pos="851"/>
        </w:tabs>
        <w:ind w:left="540"/>
        <w:rPr>
          <w:rFonts w:hAnsi="宋体" w:cs="宋体"/>
          <w:color w:val="auto"/>
          <w:sz w:val="24"/>
          <w:szCs w:val="24"/>
          <w:highlight w:val="none"/>
        </w:rPr>
      </w:pPr>
      <w:r>
        <w:rPr>
          <w:rFonts w:hint="eastAsia" w:hAnsi="宋体" w:cs="宋体"/>
          <w:color w:val="auto"/>
          <w:sz w:val="24"/>
          <w:szCs w:val="24"/>
          <w:highlight w:val="none"/>
        </w:rPr>
        <w:t>1．所有投标文件应在投标截止时间前送达采购文件指定的开标地点。</w:t>
      </w:r>
    </w:p>
    <w:p w14:paraId="7B5D5E8F">
      <w:pPr>
        <w:pStyle w:val="6"/>
        <w:tabs>
          <w:tab w:val="clear" w:pos="851"/>
        </w:tabs>
        <w:ind w:left="540"/>
        <w:rPr>
          <w:rFonts w:hAnsi="宋体" w:cs="宋体"/>
          <w:color w:val="auto"/>
          <w:sz w:val="24"/>
          <w:szCs w:val="24"/>
          <w:highlight w:val="none"/>
        </w:rPr>
      </w:pPr>
      <w:r>
        <w:rPr>
          <w:rFonts w:hint="eastAsia" w:hAnsi="宋体" w:cs="宋体"/>
          <w:color w:val="auto"/>
          <w:sz w:val="24"/>
          <w:szCs w:val="24"/>
          <w:highlight w:val="none"/>
        </w:rPr>
        <w:t>2．采购人将拒绝以下情况之一的投标文件：</w:t>
      </w:r>
    </w:p>
    <w:p w14:paraId="7C50902D">
      <w:pPr>
        <w:pStyle w:val="7"/>
        <w:tabs>
          <w:tab w:val="left" w:pos="1260"/>
        </w:tabs>
        <w:spacing w:line="360" w:lineRule="auto"/>
        <w:ind w:firstLine="1020" w:firstLineChars="425"/>
        <w:rPr>
          <w:rFonts w:ascii="宋体" w:hAnsi="宋体" w:cs="宋体"/>
          <w:color w:val="auto"/>
          <w:sz w:val="24"/>
          <w:szCs w:val="24"/>
          <w:highlight w:val="none"/>
        </w:rPr>
      </w:pPr>
      <w:r>
        <w:rPr>
          <w:rFonts w:hint="eastAsia" w:ascii="宋体" w:hAnsi="宋体" w:cs="宋体"/>
          <w:color w:val="auto"/>
          <w:sz w:val="24"/>
          <w:szCs w:val="24"/>
          <w:highlight w:val="none"/>
        </w:rPr>
        <w:t>（1）未按要求密封和盖章的；</w:t>
      </w:r>
    </w:p>
    <w:p w14:paraId="7BA18DE2">
      <w:pPr>
        <w:pStyle w:val="7"/>
        <w:tabs>
          <w:tab w:val="left" w:pos="1260"/>
        </w:tabs>
        <w:spacing w:line="360" w:lineRule="auto"/>
        <w:ind w:firstLine="1020" w:firstLineChars="425"/>
        <w:rPr>
          <w:rFonts w:ascii="宋体" w:hAnsi="宋体" w:cs="宋体"/>
          <w:color w:val="auto"/>
          <w:sz w:val="24"/>
          <w:szCs w:val="24"/>
          <w:highlight w:val="none"/>
        </w:rPr>
      </w:pPr>
      <w:r>
        <w:rPr>
          <w:rFonts w:hint="eastAsia" w:ascii="宋体" w:hAnsi="宋体" w:cs="宋体"/>
          <w:color w:val="auto"/>
          <w:sz w:val="24"/>
          <w:szCs w:val="24"/>
          <w:highlight w:val="none"/>
        </w:rPr>
        <w:t>（2）迟于投标截止时间递交的；</w:t>
      </w:r>
    </w:p>
    <w:p w14:paraId="4C585463">
      <w:pPr>
        <w:pStyle w:val="7"/>
        <w:tabs>
          <w:tab w:val="left" w:pos="1260"/>
        </w:tabs>
        <w:spacing w:line="360" w:lineRule="auto"/>
        <w:ind w:firstLine="1020" w:firstLineChars="425"/>
        <w:rPr>
          <w:rFonts w:ascii="宋体" w:hAnsi="宋体" w:cs="宋体"/>
          <w:color w:val="auto"/>
          <w:sz w:val="24"/>
          <w:szCs w:val="24"/>
          <w:highlight w:val="none"/>
        </w:rPr>
      </w:pPr>
      <w:r>
        <w:rPr>
          <w:rFonts w:hint="eastAsia" w:ascii="宋体" w:hAnsi="宋体" w:cs="宋体"/>
          <w:color w:val="auto"/>
          <w:sz w:val="24"/>
          <w:szCs w:val="24"/>
          <w:highlight w:val="none"/>
        </w:rPr>
        <w:t>（3）未按采购文件要求提交投标保证金的。</w:t>
      </w:r>
    </w:p>
    <w:p w14:paraId="76564C41">
      <w:pPr>
        <w:pStyle w:val="6"/>
        <w:tabs>
          <w:tab w:val="clear" w:pos="851"/>
        </w:tabs>
        <w:ind w:left="540"/>
        <w:rPr>
          <w:rFonts w:hAnsi="宋体" w:cs="宋体"/>
          <w:color w:val="auto"/>
          <w:sz w:val="24"/>
          <w:szCs w:val="24"/>
          <w:highlight w:val="none"/>
        </w:rPr>
      </w:pPr>
      <w:r>
        <w:rPr>
          <w:rFonts w:hint="eastAsia" w:hAnsi="宋体" w:cs="宋体"/>
          <w:color w:val="auto"/>
          <w:sz w:val="24"/>
          <w:szCs w:val="24"/>
          <w:highlight w:val="none"/>
        </w:rPr>
        <w:t>3．采购人不接受邮寄、电报、电话、传真方式投标。</w:t>
      </w:r>
    </w:p>
    <w:p w14:paraId="0EB60F54">
      <w:pPr>
        <w:pStyle w:val="6"/>
        <w:tabs>
          <w:tab w:val="clear" w:pos="851"/>
        </w:tabs>
        <w:ind w:left="540"/>
        <w:rPr>
          <w:rFonts w:hAnsi="宋体" w:cs="宋体"/>
          <w:color w:val="auto"/>
          <w:sz w:val="24"/>
          <w:szCs w:val="24"/>
          <w:highlight w:val="none"/>
        </w:rPr>
      </w:pPr>
      <w:r>
        <w:rPr>
          <w:rFonts w:hint="eastAsia" w:hAnsi="宋体" w:cs="宋体"/>
          <w:color w:val="auto"/>
          <w:sz w:val="24"/>
          <w:szCs w:val="24"/>
          <w:highlight w:val="none"/>
        </w:rPr>
        <w:t>4．采购人对因不可抗力事件造成的投标文件的损坏、丢失不承担责任。</w:t>
      </w:r>
    </w:p>
    <w:p w14:paraId="1753F7B3">
      <w:pPr>
        <w:pStyle w:val="6"/>
        <w:tabs>
          <w:tab w:val="clear" w:pos="851"/>
        </w:tabs>
        <w:spacing w:before="387" w:beforeLines="100" w:after="193" w:afterLines="50"/>
        <w:ind w:left="425"/>
        <w:rPr>
          <w:rFonts w:hAnsi="宋体" w:cs="宋体"/>
          <w:b/>
          <w:color w:val="auto"/>
          <w:sz w:val="24"/>
          <w:szCs w:val="24"/>
          <w:highlight w:val="none"/>
        </w:rPr>
      </w:pPr>
      <w:r>
        <w:rPr>
          <w:rFonts w:hint="eastAsia" w:hAnsi="宋体" w:cs="宋体"/>
          <w:b/>
          <w:color w:val="auto"/>
          <w:sz w:val="24"/>
          <w:szCs w:val="24"/>
          <w:highlight w:val="none"/>
        </w:rPr>
        <w:t>（六）投标文件的修改与撤回</w:t>
      </w:r>
      <w:bookmarkEnd w:id="161"/>
      <w:bookmarkEnd w:id="162"/>
      <w:bookmarkEnd w:id="163"/>
      <w:bookmarkEnd w:id="164"/>
      <w:bookmarkEnd w:id="165"/>
    </w:p>
    <w:p w14:paraId="4334D1E3">
      <w:pPr>
        <w:pStyle w:val="6"/>
        <w:tabs>
          <w:tab w:val="clear" w:pos="851"/>
        </w:tabs>
        <w:ind w:firstLine="513" w:firstLineChars="225"/>
        <w:rPr>
          <w:rFonts w:hAnsi="宋体" w:cs="宋体"/>
          <w:color w:val="auto"/>
          <w:spacing w:val="-6"/>
          <w:sz w:val="24"/>
          <w:szCs w:val="24"/>
          <w:highlight w:val="none"/>
        </w:rPr>
      </w:pPr>
      <w:bookmarkStart w:id="166" w:name="_Toc134955425"/>
      <w:r>
        <w:rPr>
          <w:rFonts w:hint="eastAsia" w:hAnsi="宋体" w:cs="宋体"/>
          <w:color w:val="auto"/>
          <w:spacing w:val="-6"/>
          <w:sz w:val="24"/>
          <w:szCs w:val="24"/>
          <w:highlight w:val="none"/>
        </w:rPr>
        <w:t>1．在投标截止时间之前，投标人可以修改或撤回其投标文件，但必须书面通知</w:t>
      </w:r>
      <w:r>
        <w:rPr>
          <w:rFonts w:hint="eastAsia" w:hAnsi="宋体" w:cs="宋体"/>
          <w:color w:val="auto"/>
          <w:sz w:val="24"/>
          <w:szCs w:val="24"/>
          <w:highlight w:val="none"/>
        </w:rPr>
        <w:t>采购人</w:t>
      </w:r>
      <w:r>
        <w:rPr>
          <w:rFonts w:hint="eastAsia" w:hAnsi="宋体" w:cs="宋体"/>
          <w:color w:val="auto"/>
          <w:spacing w:val="-6"/>
          <w:sz w:val="24"/>
          <w:szCs w:val="24"/>
          <w:highlight w:val="none"/>
        </w:rPr>
        <w:t>。</w:t>
      </w:r>
      <w:bookmarkEnd w:id="166"/>
    </w:p>
    <w:p w14:paraId="101B7961">
      <w:pPr>
        <w:pStyle w:val="6"/>
        <w:tabs>
          <w:tab w:val="clear" w:pos="851"/>
        </w:tabs>
        <w:ind w:left="540"/>
        <w:rPr>
          <w:rFonts w:hAnsi="宋体" w:cs="宋体"/>
          <w:color w:val="auto"/>
          <w:sz w:val="24"/>
          <w:szCs w:val="24"/>
          <w:highlight w:val="none"/>
        </w:rPr>
      </w:pPr>
      <w:bookmarkStart w:id="167" w:name="_Toc134955426"/>
      <w:r>
        <w:rPr>
          <w:rFonts w:hint="eastAsia" w:hAnsi="宋体" w:cs="宋体"/>
          <w:color w:val="auto"/>
          <w:sz w:val="24"/>
          <w:szCs w:val="24"/>
          <w:highlight w:val="none"/>
        </w:rPr>
        <w:t>2．在投标截止时间之后，采购人不接受投标人对投标文件做任何修改及撤回。</w:t>
      </w:r>
      <w:bookmarkEnd w:id="167"/>
    </w:p>
    <w:p w14:paraId="16F1266D">
      <w:pPr>
        <w:pStyle w:val="6"/>
        <w:tabs>
          <w:tab w:val="clear" w:pos="851"/>
        </w:tabs>
        <w:spacing w:before="387" w:beforeLines="100" w:after="193" w:afterLines="50"/>
        <w:ind w:left="425"/>
        <w:rPr>
          <w:rFonts w:hAnsi="宋体" w:cs="宋体"/>
          <w:b/>
          <w:color w:val="auto"/>
          <w:sz w:val="24"/>
          <w:szCs w:val="24"/>
          <w:highlight w:val="none"/>
        </w:rPr>
      </w:pPr>
      <w:bookmarkStart w:id="168" w:name="_Toc98579062"/>
      <w:bookmarkStart w:id="169" w:name="_Toc101951256"/>
      <w:bookmarkStart w:id="170" w:name="_Toc101775123"/>
      <w:bookmarkStart w:id="171" w:name="_Toc134956132"/>
      <w:bookmarkStart w:id="172" w:name="_Toc101843123"/>
      <w:bookmarkStart w:id="173" w:name="_Toc50276150"/>
      <w:bookmarkStart w:id="174" w:name="_Toc41723928"/>
      <w:bookmarkStart w:id="175" w:name="_Toc42394509"/>
      <w:bookmarkStart w:id="176" w:name="_Toc42394666"/>
      <w:bookmarkStart w:id="177" w:name="_Toc101771370"/>
      <w:bookmarkStart w:id="178" w:name="_Toc98579004"/>
      <w:bookmarkStart w:id="179" w:name="_Toc41884698"/>
      <w:bookmarkStart w:id="180" w:name="_Toc98580286"/>
      <w:bookmarkStart w:id="181" w:name="_Toc42313164"/>
      <w:bookmarkStart w:id="182" w:name="_Toc98579603"/>
      <w:r>
        <w:rPr>
          <w:rFonts w:hint="eastAsia" w:hAnsi="宋体" w:cs="宋体"/>
          <w:b/>
          <w:color w:val="auto"/>
          <w:sz w:val="24"/>
          <w:szCs w:val="24"/>
          <w:highlight w:val="none"/>
        </w:rPr>
        <w:t>（七）投标有效期</w:t>
      </w:r>
    </w:p>
    <w:p w14:paraId="33E8F4B1">
      <w:pPr>
        <w:pStyle w:val="7"/>
        <w:tabs>
          <w:tab w:val="left" w:pos="9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投标有效期为90天，自提交投标文件的截止日期计算。投标有效期比规定时间短的将被作为非实质性响应采购文件而予以拒绝。</w:t>
      </w:r>
    </w:p>
    <w:p w14:paraId="6AEDF17F">
      <w:pPr>
        <w:pStyle w:val="7"/>
        <w:tabs>
          <w:tab w:val="left" w:pos="9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在特殊情况下，采购人可于投标有效期满之前要求投标人同意延长有效期，要求与答复均以书面形式进行。投标人可以拒绝上述要求，但其投标将会被拒绝并无息退还投标保证金；同意延期的投标人其权利与义务相应延至新的截止期。</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14:paraId="13AEB044">
      <w:pPr>
        <w:pStyle w:val="7"/>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（八）投标保证金</w:t>
      </w:r>
    </w:p>
    <w:p w14:paraId="6A5D26F2">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投标人应交纳投标保证金：￥</w:t>
      </w:r>
      <w:r>
        <w:rPr>
          <w:rFonts w:hint="eastAsia" w:ascii="宋体" w:hAnsi="宋体" w:cs="宋体"/>
          <w:color w:val="auto"/>
          <w:sz w:val="24"/>
          <w:szCs w:val="24"/>
          <w:highlight w:val="none"/>
          <w:lang w:val="en-US" w:eastAsia="zh-CN"/>
        </w:rPr>
        <w:t>5,000.00</w:t>
      </w:r>
      <w:r>
        <w:rPr>
          <w:rFonts w:hint="eastAsia" w:ascii="宋体" w:hAnsi="宋体" w:cs="宋体"/>
          <w:color w:val="auto"/>
          <w:sz w:val="24"/>
          <w:szCs w:val="24"/>
          <w:highlight w:val="none"/>
        </w:rPr>
        <w:t>元(人民币</w:t>
      </w:r>
      <w:r>
        <w:rPr>
          <w:rFonts w:hint="eastAsia" w:ascii="宋体" w:hAnsi="宋体" w:cs="宋体"/>
          <w:color w:val="auto"/>
          <w:sz w:val="24"/>
          <w:szCs w:val="24"/>
          <w:highlight w:val="none"/>
          <w:lang w:val="en-US" w:eastAsia="zh-CN"/>
        </w:rPr>
        <w:t>伍仟元整</w:t>
      </w:r>
      <w:r>
        <w:rPr>
          <w:rFonts w:hint="eastAsia" w:ascii="宋体" w:hAnsi="宋体" w:cs="宋体"/>
          <w:color w:val="auto"/>
          <w:sz w:val="24"/>
          <w:szCs w:val="24"/>
          <w:highlight w:val="none"/>
        </w:rPr>
        <w:t>)。</w:t>
      </w:r>
    </w:p>
    <w:p w14:paraId="6153F8B4">
      <w:pPr>
        <w:spacing w:line="440" w:lineRule="exact"/>
        <w:ind w:firstLine="480" w:firstLineChars="200"/>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1.</w:t>
      </w:r>
      <w:r>
        <w:rPr>
          <w:rFonts w:hint="eastAsia" w:asciiTheme="minorEastAsia" w:hAnsiTheme="minorEastAsia"/>
          <w:b/>
          <w:bCs/>
          <w:color w:val="auto"/>
          <w:sz w:val="24"/>
          <w:szCs w:val="24"/>
          <w:highlight w:val="none"/>
        </w:rPr>
        <w:t>投标保证金的形式：</w:t>
      </w:r>
      <w:r>
        <w:rPr>
          <w:rFonts w:hint="eastAsia" w:asciiTheme="minorEastAsia" w:hAnsiTheme="minorEastAsia"/>
          <w:color w:val="auto"/>
          <w:sz w:val="24"/>
          <w:szCs w:val="24"/>
          <w:highlight w:val="none"/>
        </w:rPr>
        <w:t>投标保证金可采用转账、投标保证保险、投标保函（银行或专业担保公司出具）等形式，须在递交投标文件截止时间前完成缴纳。投标保证金有效期：与投标有效期一致。</w:t>
      </w:r>
    </w:p>
    <w:p w14:paraId="66C6DC57">
      <w:pPr>
        <w:spacing w:line="440" w:lineRule="exact"/>
        <w:ind w:firstLine="480" w:firstLineChars="200"/>
        <w:jc w:val="both"/>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2.</w:t>
      </w:r>
      <w:r>
        <w:rPr>
          <w:rFonts w:hint="eastAsia" w:asciiTheme="minorEastAsia" w:hAnsiTheme="minorEastAsia"/>
          <w:bCs/>
          <w:color w:val="auto"/>
          <w:sz w:val="24"/>
          <w:szCs w:val="24"/>
          <w:highlight w:val="none"/>
        </w:rPr>
        <w:t>采用转账形式提交投标保证金的，保证金须在投标截止时间前划达对应项目账号，否则为无效保证金。汇款时请注明所投项目名称。投标人在平台完成项目登记后，在平台首页右上方“我的项目”模块，找到已完成登记的项目，点击“项目流程”，进入项目的“保证金查询”模块，即可查看对应项目的保证金账号信息。</w:t>
      </w:r>
    </w:p>
    <w:p w14:paraId="04C9BD07">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投标保证金采用电汇(转账)方式递交的，投标保证金的汇款单位名称必须与投标人名称一致，投标保证金应从投标人的账户转出，投标人必须按规定的投标截止时间提前到达采购文件指定账户。同时，在标书内附上电汇单据复印件并加盖投标人公章。为保证收标工作顺利进行，建议投标人在投标文件递交截止时间前两个工作日将保证金款项转达指定账户。</w:t>
      </w:r>
    </w:p>
    <w:p w14:paraId="146A71F0">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rPr>
        <w:tab/>
      </w:r>
      <w:r>
        <w:rPr>
          <w:rFonts w:hint="eastAsia" w:ascii="宋体" w:hAnsi="宋体" w:cs="宋体"/>
          <w:color w:val="auto"/>
          <w:sz w:val="24"/>
          <w:szCs w:val="24"/>
          <w:highlight w:val="none"/>
        </w:rPr>
        <w:t xml:space="preserve">通过银行柜台转账时，必须在银行进账单或汇款凭证中准确填写收款人和缴款人名称、账户，以及缴付金额、缴款人证件号码信息；银行进账单或汇款凭证的备注/用途/附言等备注信息栏中必须准确填写采购项目名称和项目编号（如无法填写完整项目名称，可缩略描写）。 </w:t>
      </w:r>
    </w:p>
    <w:p w14:paraId="0F9B29E4">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rPr>
        <w:tab/>
      </w:r>
      <w:r>
        <w:rPr>
          <w:rFonts w:hint="eastAsia" w:ascii="宋体" w:hAnsi="宋体" w:cs="宋体"/>
          <w:color w:val="auto"/>
          <w:sz w:val="24"/>
          <w:szCs w:val="24"/>
          <w:highlight w:val="none"/>
        </w:rPr>
        <w:t xml:space="preserve">通过网上银行转账时，必须在网上银行支付界面准确填写收款人和缴款人名称、账户、缴付金额，备注/用途/附言等备注信息栏中必须准确填写采购项目的项目名称和项目编号。 </w:t>
      </w:r>
    </w:p>
    <w:p w14:paraId="19D07AE7">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rPr>
        <w:tab/>
      </w:r>
      <w:r>
        <w:rPr>
          <w:rFonts w:hint="eastAsia" w:ascii="宋体" w:hAnsi="宋体" w:cs="宋体"/>
          <w:color w:val="auto"/>
          <w:sz w:val="24"/>
          <w:szCs w:val="24"/>
          <w:highlight w:val="none"/>
        </w:rPr>
        <w:t>缴款人名称须与投标人名称一致。</w:t>
      </w:r>
    </w:p>
    <w:p w14:paraId="557E94F8">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rPr>
        <w:tab/>
      </w:r>
      <w:r>
        <w:rPr>
          <w:rFonts w:hint="eastAsia" w:ascii="宋体" w:hAnsi="宋体" w:cs="宋体"/>
          <w:color w:val="auto"/>
          <w:sz w:val="24"/>
          <w:szCs w:val="24"/>
          <w:highlight w:val="none"/>
        </w:rPr>
        <w:t>如需开具保证金收据的，须现场签收票据。</w:t>
      </w:r>
    </w:p>
    <w:p w14:paraId="311DD401">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 投标人如采用提交银行投标保函、担保保函或提交投标保证保险，须开具给采购人（保险受益人须为采购人）。投标人应在投标文件中提交保函或保险的扫描件（或复印件）并加盖投标人公章，须在投标截止时间前半小时内单独密封递交至开标室。</w:t>
      </w:r>
    </w:p>
    <w:p w14:paraId="57C34BAF">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rPr>
        <w:tab/>
      </w:r>
      <w:r>
        <w:rPr>
          <w:rFonts w:hint="eastAsia" w:ascii="宋体" w:hAnsi="宋体" w:cs="宋体"/>
          <w:color w:val="auto"/>
          <w:sz w:val="24"/>
          <w:szCs w:val="24"/>
          <w:highlight w:val="none"/>
        </w:rPr>
        <w:t>投标人未按采购文件要求递交投标保证金的，在评标时作否决投标资格处理。</w:t>
      </w:r>
    </w:p>
    <w:p w14:paraId="011D98DE">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rPr>
        <w:tab/>
      </w:r>
      <w:r>
        <w:rPr>
          <w:rFonts w:hint="eastAsia" w:ascii="宋体" w:hAnsi="宋体" w:cs="宋体"/>
          <w:color w:val="auto"/>
          <w:sz w:val="24"/>
          <w:szCs w:val="24"/>
          <w:highlight w:val="none"/>
        </w:rPr>
        <w:t>在中标结果公告发出之日起5个工作日内，本平台采用银行主动划账方式退还未中标人的投标保证金；在采购人与中标人签订合同，本平台收到采购合同复印件/扫描件后5个工作日内，退还中标人的投标保证金；在投标有效期内不能确定中标人的，在投标有效期满后五个工作日内，退还所有投标人的投标保证金。采购失败的项目，在采购结果公告后五个工作日内，退还所有投标人的投标保证金。投标保证金自动划回到投标人银行账号。</w:t>
      </w:r>
    </w:p>
    <w:p w14:paraId="0E743F72">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6.</w:t>
      </w:r>
      <w:r>
        <w:rPr>
          <w:rFonts w:hint="eastAsia" w:ascii="宋体" w:hAnsi="宋体" w:cs="宋体"/>
          <w:color w:val="auto"/>
          <w:sz w:val="24"/>
          <w:szCs w:val="24"/>
          <w:highlight w:val="none"/>
        </w:rPr>
        <w:tab/>
      </w:r>
      <w:r>
        <w:rPr>
          <w:rFonts w:hint="eastAsia" w:ascii="宋体" w:hAnsi="宋体" w:cs="宋体"/>
          <w:color w:val="auto"/>
          <w:sz w:val="24"/>
          <w:szCs w:val="24"/>
          <w:highlight w:val="none"/>
        </w:rPr>
        <w:t>下列任何一种情况发生时，投标保证金将不予退回：</w:t>
      </w:r>
    </w:p>
    <w:p w14:paraId="008670D9">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rPr>
        <w:tab/>
      </w:r>
      <w:r>
        <w:rPr>
          <w:rFonts w:hint="eastAsia" w:ascii="宋体" w:hAnsi="宋体" w:cs="宋体"/>
          <w:color w:val="auto"/>
          <w:sz w:val="24"/>
          <w:szCs w:val="24"/>
          <w:highlight w:val="none"/>
        </w:rPr>
        <w:t>投标人在采购文件中规定的投标截止日起的投标有效期内撤回其投标的；</w:t>
      </w:r>
    </w:p>
    <w:p w14:paraId="64153D49">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rPr>
        <w:tab/>
      </w:r>
      <w:r>
        <w:rPr>
          <w:rFonts w:hint="eastAsia" w:ascii="宋体" w:hAnsi="宋体" w:cs="宋体"/>
          <w:color w:val="auto"/>
          <w:sz w:val="24"/>
          <w:szCs w:val="24"/>
          <w:highlight w:val="none"/>
        </w:rPr>
        <w:t>中标人无正当理由未能在规定期限内签订合同的；</w:t>
      </w:r>
    </w:p>
    <w:p w14:paraId="6F00A1DB">
      <w:pPr>
        <w:pStyle w:val="7"/>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rPr>
        <w:tab/>
      </w:r>
      <w:r>
        <w:rPr>
          <w:rFonts w:hint="eastAsia" w:ascii="宋体" w:hAnsi="宋体" w:cs="宋体"/>
          <w:color w:val="auto"/>
          <w:sz w:val="24"/>
          <w:szCs w:val="24"/>
          <w:highlight w:val="none"/>
        </w:rPr>
        <w:t>中标人未按采购文件规定提交履约担保的；</w:t>
      </w:r>
    </w:p>
    <w:p w14:paraId="1FFF05FE">
      <w:pPr>
        <w:pStyle w:val="7"/>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rPr>
        <w:tab/>
      </w:r>
      <w:r>
        <w:rPr>
          <w:rFonts w:hint="eastAsia" w:ascii="宋体" w:hAnsi="宋体" w:cs="宋体"/>
          <w:color w:val="auto"/>
          <w:sz w:val="24"/>
          <w:szCs w:val="24"/>
          <w:highlight w:val="none"/>
        </w:rPr>
        <w:t>中标人无正当理由放弃中标的；</w:t>
      </w:r>
    </w:p>
    <w:p w14:paraId="25EC7EC3">
      <w:pPr>
        <w:pStyle w:val="7"/>
        <w:spacing w:line="360" w:lineRule="auto"/>
        <w:rPr>
          <w:rFonts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w:t>
      </w:r>
      <w:r>
        <w:rPr>
          <w:rFonts w:hint="eastAsia" w:hAnsi="宋体" w:cs="宋体"/>
          <w:color w:val="auto"/>
          <w:sz w:val="24"/>
          <w:szCs w:val="24"/>
          <w:highlight w:val="none"/>
        </w:rPr>
        <w:t>国家规定的其他情况。</w:t>
      </w:r>
    </w:p>
    <w:p w14:paraId="6DC80173">
      <w:pPr>
        <w:pStyle w:val="7"/>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（九）履约担保</w:t>
      </w:r>
    </w:p>
    <w:p w14:paraId="17FA3E92">
      <w:pPr>
        <w:pStyle w:val="7"/>
        <w:spacing w:line="360" w:lineRule="auto"/>
        <w:rPr>
          <w:rFonts w:ascii="宋体" w:hAnsi="宋体" w:cs="宋体"/>
          <w:b/>
          <w:color w:val="auto"/>
          <w:sz w:val="24"/>
          <w:szCs w:val="24"/>
          <w:highlight w:val="none"/>
        </w:rPr>
      </w:pPr>
      <w:r>
        <w:rPr>
          <w:rFonts w:hint="eastAsia" w:ascii="Times New Roman" w:hAnsi="宋体" w:eastAsia="宋体" w:cs="宋体"/>
          <w:color w:val="auto"/>
          <w:sz w:val="24"/>
          <w:szCs w:val="24"/>
          <w:highlight w:val="none"/>
        </w:rPr>
        <w:t>具体要求详见本项目合同相关条款。</w:t>
      </w:r>
    </w:p>
    <w:p w14:paraId="7501E3E9">
      <w:pPr>
        <w:pStyle w:val="7"/>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（十）投标无效的情形</w:t>
      </w:r>
    </w:p>
    <w:p w14:paraId="5BAF81FB">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投标人不满足“投标人资格要求”所列的条件。</w:t>
      </w:r>
    </w:p>
    <w:p w14:paraId="33DA6DD0">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投标文件(或投标报价)未按采购文件规定的要求提供。</w:t>
      </w:r>
    </w:p>
    <w:p w14:paraId="21616088">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投标文件(或投标报价)未按采购文件规定加盖公章。</w:t>
      </w:r>
    </w:p>
    <w:p w14:paraId="2FB940AA">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投标文件(或投标报价)未按采购文件规定签署及盖章的。</w:t>
      </w:r>
    </w:p>
    <w:p w14:paraId="781D7C6B">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投标文件(或投标报价)的内容或所投标的与采购文件有严重背离。</w:t>
      </w:r>
    </w:p>
    <w:p w14:paraId="01CC9753">
      <w:pPr>
        <w:pStyle w:val="6"/>
        <w:numPr>
          <w:ilvl w:val="3"/>
          <w:numId w:val="11"/>
        </w:numPr>
        <w:tabs>
          <w:tab w:val="clear" w:pos="851"/>
        </w:tabs>
        <w:ind w:left="1441" w:hanging="539"/>
        <w:rPr>
          <w:rFonts w:hAnsi="宋体" w:cs="宋体"/>
          <w:color w:val="auto"/>
          <w:highlight w:val="none"/>
        </w:rPr>
      </w:pPr>
      <w:r>
        <w:rPr>
          <w:rFonts w:hint="eastAsia" w:hAnsi="宋体" w:cs="宋体"/>
          <w:color w:val="auto"/>
          <w:sz w:val="24"/>
          <w:szCs w:val="24"/>
          <w:highlight w:val="none"/>
        </w:rPr>
        <w:t>书面投标报价未按照采购文件要求的格式制作及打印。</w:t>
      </w:r>
    </w:p>
    <w:p w14:paraId="4E7198E9">
      <w:pPr>
        <w:pStyle w:val="6"/>
        <w:numPr>
          <w:ilvl w:val="3"/>
          <w:numId w:val="11"/>
        </w:numPr>
        <w:tabs>
          <w:tab w:val="clear" w:pos="851"/>
        </w:tabs>
        <w:ind w:left="434" w:firstLine="468"/>
        <w:rPr>
          <w:rFonts w:hAnsi="宋体" w:cs="宋体"/>
          <w:color w:val="auto"/>
          <w:sz w:val="24"/>
          <w:szCs w:val="24"/>
          <w:highlight w:val="none"/>
        </w:rPr>
      </w:pPr>
      <w:r>
        <w:rPr>
          <w:rFonts w:hint="eastAsia" w:hAnsi="宋体" w:cs="宋体"/>
          <w:color w:val="auto"/>
          <w:sz w:val="24"/>
          <w:szCs w:val="24"/>
          <w:highlight w:val="none"/>
        </w:rPr>
        <w:t>投标报价严重偏离行业合理价格，经评标委员会审议为恶性报价，或者投标价格高于采购文件设定的最高限价的（如有）。</w:t>
      </w:r>
    </w:p>
    <w:p w14:paraId="142DFCCF">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投标报价出现缺项漏项。</w:t>
      </w:r>
    </w:p>
    <w:p w14:paraId="15E60F33">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对合同范本提出差异性条款的。</w:t>
      </w:r>
    </w:p>
    <w:p w14:paraId="2F3928DB">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投标有效期不满足采购文件要求的。</w:t>
      </w:r>
    </w:p>
    <w:p w14:paraId="2135F48C">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投标人未按采购文件要求递交投标保证金的。</w:t>
      </w:r>
    </w:p>
    <w:p w14:paraId="18E7AB24">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未按采购文件要求提供授权证明文件的。</w:t>
      </w:r>
    </w:p>
    <w:p w14:paraId="47C9D152">
      <w:pPr>
        <w:pStyle w:val="6"/>
        <w:numPr>
          <w:ilvl w:val="3"/>
          <w:numId w:val="11"/>
        </w:numPr>
        <w:tabs>
          <w:tab w:val="clear" w:pos="851"/>
        </w:tabs>
        <w:ind w:left="1441" w:hanging="539"/>
        <w:rPr>
          <w:rFonts w:hAnsi="宋体" w:cs="宋体"/>
          <w:color w:val="auto"/>
          <w:sz w:val="24"/>
          <w:szCs w:val="24"/>
          <w:highlight w:val="none"/>
        </w:rPr>
      </w:pPr>
      <w:r>
        <w:rPr>
          <w:rFonts w:hint="eastAsia" w:hAnsi="宋体" w:cs="宋体"/>
          <w:color w:val="auto"/>
          <w:sz w:val="24"/>
          <w:szCs w:val="24"/>
          <w:highlight w:val="none"/>
        </w:rPr>
        <w:t>国家法律法规和采购文件规定的其他无效情形。</w:t>
      </w:r>
    </w:p>
    <w:p w14:paraId="23A4F152">
      <w:pPr>
        <w:pStyle w:val="7"/>
        <w:spacing w:line="360" w:lineRule="auto"/>
        <w:rPr>
          <w:rFonts w:ascii="宋体" w:hAnsi="宋体" w:cs="宋体"/>
          <w:color w:val="auto"/>
          <w:highlight w:val="none"/>
        </w:rPr>
      </w:pPr>
      <w:r>
        <w:rPr>
          <w:rFonts w:hint="eastAsia" w:ascii="宋体" w:hAnsi="宋体" w:cs="宋体"/>
          <w:b/>
          <w:color w:val="auto"/>
          <w:sz w:val="24"/>
          <w:szCs w:val="24"/>
          <w:highlight w:val="none"/>
        </w:rPr>
        <w:t>（十一）采购文件的解释权</w:t>
      </w:r>
    </w:p>
    <w:p w14:paraId="37E12267">
      <w:pPr>
        <w:pStyle w:val="6"/>
        <w:tabs>
          <w:tab w:val="clear" w:pos="851"/>
        </w:tabs>
        <w:ind w:firstLine="1020" w:firstLineChars="425"/>
        <w:rPr>
          <w:rFonts w:asciiTheme="minorEastAsia" w:hAnsiTheme="minorEastAsia" w:eastAsiaTheme="minorEastAsia"/>
          <w:color w:val="auto"/>
          <w:sz w:val="24"/>
          <w:szCs w:val="24"/>
          <w:highlight w:val="none"/>
        </w:rPr>
      </w:pPr>
      <w:r>
        <w:rPr>
          <w:rFonts w:hint="eastAsia" w:hAnsi="宋体" w:cs="宋体"/>
          <w:color w:val="auto"/>
          <w:sz w:val="24"/>
          <w:szCs w:val="24"/>
          <w:highlight w:val="none"/>
        </w:rPr>
        <w:t>本采购文件由</w:t>
      </w:r>
      <w:r>
        <w:rPr>
          <w:rFonts w:hint="eastAsia" w:hAnsi="宋体" w:cs="宋体"/>
          <w:color w:val="auto"/>
          <w:sz w:val="24"/>
          <w:szCs w:val="24"/>
          <w:highlight w:val="none"/>
          <w:lang w:eastAsia="zh-CN"/>
        </w:rPr>
        <w:t>广州众源建设管理有限公司</w:t>
      </w:r>
      <w:r>
        <w:rPr>
          <w:rFonts w:hint="eastAsia" w:hAnsi="宋体" w:cs="宋体"/>
          <w:color w:val="auto"/>
          <w:sz w:val="24"/>
          <w:szCs w:val="24"/>
          <w:highlight w:val="none"/>
        </w:rPr>
        <w:t>负责解释。</w:t>
      </w:r>
    </w:p>
    <w:p w14:paraId="1BE1E4BB">
      <w:pPr>
        <w:rPr>
          <w:rFonts w:asciiTheme="minorEastAsia" w:hAnsiTheme="minorEastAsia" w:eastAsiaTheme="minorEastAsia"/>
          <w:b/>
          <w:bCs/>
          <w:color w:val="auto"/>
          <w:kern w:val="44"/>
          <w:sz w:val="30"/>
          <w:szCs w:val="30"/>
          <w:highlight w:val="none"/>
        </w:rPr>
      </w:pPr>
      <w:bookmarkStart w:id="183" w:name="_Toc101951257"/>
      <w:bookmarkStart w:id="184" w:name="_Toc37569519"/>
      <w:bookmarkStart w:id="185" w:name="_Toc40762370"/>
      <w:bookmarkStart w:id="186" w:name="_Toc98580292"/>
      <w:bookmarkStart w:id="187" w:name="_Toc175644388"/>
      <w:bookmarkStart w:id="188" w:name="_Toc37331038"/>
      <w:bookmarkStart w:id="189" w:name="_Toc37581420"/>
      <w:bookmarkStart w:id="190" w:name="_Toc98579609"/>
      <w:bookmarkStart w:id="191" w:name="_Toc50276195"/>
      <w:bookmarkStart w:id="192" w:name="_Toc6373"/>
      <w:bookmarkStart w:id="193" w:name="_Toc50276156"/>
      <w:bookmarkStart w:id="194" w:name="_Toc101775124"/>
      <w:bookmarkStart w:id="195" w:name="_Toc98579010"/>
      <w:bookmarkStart w:id="196" w:name="_Toc22295585"/>
      <w:bookmarkStart w:id="197" w:name="_Toc46308683"/>
      <w:bookmarkStart w:id="198" w:name="_Toc98579068"/>
      <w:bookmarkStart w:id="199" w:name="_Toc29327"/>
      <w:bookmarkStart w:id="200" w:name="_Toc46308527"/>
      <w:bookmarkStart w:id="201" w:name="_Toc98035088"/>
      <w:bookmarkStart w:id="202" w:name="_Toc37663391"/>
      <w:bookmarkStart w:id="203" w:name="_Toc27918"/>
      <w:bookmarkStart w:id="204" w:name="_Toc37331080"/>
      <w:bookmarkStart w:id="205" w:name="_Toc37245276"/>
      <w:bookmarkStart w:id="206" w:name="_Toc101771371"/>
      <w:bookmarkStart w:id="207" w:name="_Toc101843124"/>
      <w:r>
        <w:rPr>
          <w:rFonts w:asciiTheme="minorEastAsia" w:hAnsiTheme="minorEastAsia" w:eastAsiaTheme="minorEastAsia"/>
          <w:color w:val="auto"/>
          <w:sz w:val="30"/>
          <w:szCs w:val="30"/>
          <w:highlight w:val="none"/>
        </w:rPr>
        <w:br w:type="page"/>
      </w:r>
    </w:p>
    <w:p w14:paraId="289BAD42">
      <w:pPr>
        <w:pStyle w:val="4"/>
        <w:spacing w:before="200" w:after="200" w:line="360" w:lineRule="auto"/>
        <w:jc w:val="center"/>
        <w:rPr>
          <w:rFonts w:hint="eastAsia" w:asciiTheme="minorEastAsia" w:hAnsiTheme="minorEastAsia" w:eastAsiaTheme="minorEastAsia"/>
          <w:b w:val="0"/>
          <w:color w:val="auto"/>
          <w:sz w:val="32"/>
          <w:szCs w:val="32"/>
          <w:highlight w:val="none"/>
          <w:lang w:eastAsia="zh-CN"/>
        </w:rPr>
      </w:pPr>
      <w:bookmarkStart w:id="208" w:name="_Toc30606"/>
      <w:r>
        <w:rPr>
          <w:rFonts w:hint="eastAsia" w:asciiTheme="minorEastAsia" w:hAnsiTheme="minorEastAsia" w:eastAsiaTheme="minorEastAsia"/>
          <w:color w:val="auto"/>
          <w:sz w:val="30"/>
          <w:szCs w:val="30"/>
          <w:highlight w:val="none"/>
        </w:rPr>
        <w:t>第二章</w:t>
      </w:r>
      <w:r>
        <w:rPr>
          <w:rFonts w:asciiTheme="minorEastAsia" w:hAnsiTheme="minorEastAsia" w:eastAsiaTheme="minorEastAsia"/>
          <w:color w:val="auto"/>
          <w:sz w:val="30"/>
          <w:szCs w:val="30"/>
          <w:highlight w:val="none"/>
        </w:rPr>
        <w:t xml:space="preserve"> </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Start w:id="209" w:name="_Toc37581421"/>
      <w:bookmarkStart w:id="210" w:name="_Toc46308684"/>
      <w:bookmarkStart w:id="211" w:name="_Toc37569520"/>
      <w:bookmarkStart w:id="212" w:name="_Toc37245277"/>
      <w:bookmarkStart w:id="213" w:name="_Toc40762371"/>
      <w:bookmarkStart w:id="214" w:name="_Toc37663392"/>
      <w:bookmarkStart w:id="215" w:name="_Toc46308528"/>
      <w:bookmarkStart w:id="216" w:name="_Toc37331039"/>
      <w:bookmarkStart w:id="217" w:name="_Toc37331081"/>
      <w:r>
        <w:rPr>
          <w:rFonts w:hint="eastAsia" w:asciiTheme="minorEastAsia" w:hAnsiTheme="minorEastAsia" w:eastAsiaTheme="minorEastAsia"/>
          <w:color w:val="auto"/>
          <w:sz w:val="30"/>
          <w:szCs w:val="30"/>
          <w:highlight w:val="none"/>
          <w:lang w:eastAsia="zh-CN"/>
        </w:rPr>
        <w:t>招标人需求</w:t>
      </w:r>
    </w:p>
    <w:bookmarkEnd w:id="209"/>
    <w:bookmarkEnd w:id="210"/>
    <w:bookmarkEnd w:id="211"/>
    <w:bookmarkEnd w:id="212"/>
    <w:bookmarkEnd w:id="213"/>
    <w:bookmarkEnd w:id="214"/>
    <w:bookmarkEnd w:id="215"/>
    <w:bookmarkEnd w:id="216"/>
    <w:bookmarkEnd w:id="217"/>
    <w:p w14:paraId="6A614B92">
      <w:pPr>
        <w:keepNext w:val="0"/>
        <w:keepLines w:val="0"/>
        <w:pageBreakBefore w:val="0"/>
        <w:widowControl/>
        <w:kinsoku/>
        <w:wordWrap/>
        <w:overflowPunct/>
        <w:topLinePunct w:val="0"/>
        <w:autoSpaceDE/>
        <w:autoSpaceDN/>
        <w:bidi w:val="0"/>
        <w:adjustRightInd/>
        <w:spacing w:line="440" w:lineRule="exact"/>
        <w:ind w:firstLine="480" w:firstLineChars="200"/>
        <w:jc w:val="left"/>
        <w:textAlignment w:val="auto"/>
        <w:rPr>
          <w:rFonts w:ascii="宋体" w:hAnsi="宋体" w:cs="宋体"/>
          <w:color w:val="auto"/>
          <w:sz w:val="24"/>
          <w:szCs w:val="24"/>
          <w:highlight w:val="none"/>
        </w:rPr>
      </w:pPr>
      <w:bookmarkStart w:id="218" w:name="_Toc41884706"/>
      <w:bookmarkStart w:id="219" w:name="_Toc98579011"/>
      <w:bookmarkStart w:id="220" w:name="_Toc46308687"/>
      <w:bookmarkStart w:id="221" w:name="_Toc42394517"/>
      <w:bookmarkStart w:id="222" w:name="_Toc42313172"/>
      <w:bookmarkStart w:id="223" w:name="_Toc50276165"/>
      <w:bookmarkStart w:id="224" w:name="_Toc42394673"/>
      <w:bookmarkStart w:id="225" w:name="_Toc41723936"/>
      <w:bookmarkStart w:id="226" w:name="_Toc98035089"/>
      <w:bookmarkStart w:id="227" w:name="_Toc50276204"/>
      <w:bookmarkStart w:id="228" w:name="_Toc98579069"/>
      <w:bookmarkStart w:id="229" w:name="_Toc98579610"/>
      <w:bookmarkStart w:id="230" w:name="_Toc46308531"/>
      <w:bookmarkStart w:id="231" w:name="_Toc101951263"/>
      <w:bookmarkStart w:id="232" w:name="_Toc98580293"/>
      <w:bookmarkStart w:id="233" w:name="_Toc175644394"/>
      <w:bookmarkStart w:id="234" w:name="_Toc101775125"/>
      <w:bookmarkStart w:id="235" w:name="_Toc101771372"/>
      <w:bookmarkStart w:id="236" w:name="_Toc101843125"/>
      <w:bookmarkStart w:id="237" w:name="_Toc22295586"/>
      <w:r>
        <w:rPr>
          <w:rFonts w:hint="eastAsia" w:ascii="宋体" w:hAnsi="宋体" w:cs="宋体"/>
          <w:color w:val="auto"/>
          <w:sz w:val="24"/>
          <w:szCs w:val="24"/>
          <w:highlight w:val="none"/>
        </w:rPr>
        <w:t>1、投标人须对本项目为单位的服务进行整体响应，任何只对其中一部分内容进行的响应都被视为无效响应。</w:t>
      </w:r>
    </w:p>
    <w:p w14:paraId="6BFC420B">
      <w:pPr>
        <w:keepNext w:val="0"/>
        <w:keepLines w:val="0"/>
        <w:pageBreakBefore w:val="0"/>
        <w:widowControl/>
        <w:kinsoku/>
        <w:wordWrap/>
        <w:overflowPunct/>
        <w:topLinePunct w:val="0"/>
        <w:autoSpaceDE/>
        <w:autoSpaceDN/>
        <w:bidi w:val="0"/>
        <w:adjustRightInd/>
        <w:spacing w:line="440" w:lineRule="exact"/>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招标人需求</w:t>
      </w:r>
      <w:r>
        <w:rPr>
          <w:rFonts w:hint="eastAsia" w:ascii="宋体" w:hAnsi="宋体" w:cs="宋体"/>
          <w:color w:val="auto"/>
          <w:sz w:val="24"/>
          <w:szCs w:val="24"/>
          <w:highlight w:val="none"/>
        </w:rPr>
        <w:t>中打“★”号条款为实质性条款，投标人如有任何一条负偏离则导致投标无效。</w:t>
      </w:r>
    </w:p>
    <w:p w14:paraId="1F5C4E4B">
      <w:pPr>
        <w:keepNext w:val="0"/>
        <w:keepLines w:val="0"/>
        <w:pageBreakBefore w:val="0"/>
        <w:widowControl/>
        <w:numPr>
          <w:ilvl w:val="0"/>
          <w:numId w:val="12"/>
        </w:numPr>
        <w:kinsoku/>
        <w:wordWrap/>
        <w:overflowPunct/>
        <w:topLinePunct w:val="0"/>
        <w:autoSpaceDE/>
        <w:autoSpaceDN/>
        <w:bidi w:val="0"/>
        <w:adjustRightInd/>
        <w:snapToGrid/>
        <w:spacing w:line="440" w:lineRule="exact"/>
        <w:ind w:firstLine="482" w:firstLineChars="200"/>
        <w:jc w:val="left"/>
        <w:textAlignment w:val="auto"/>
        <w:rPr>
          <w:rFonts w:ascii="宋体" w:hAnsi="宋体" w:cs="宋体"/>
          <w:color w:val="auto"/>
          <w:sz w:val="24"/>
          <w:szCs w:val="24"/>
          <w:highlight w:val="none"/>
        </w:rPr>
      </w:pPr>
      <w:r>
        <w:rPr>
          <w:rFonts w:hint="eastAsia" w:ascii="宋体" w:hAnsi="宋体" w:cs="宋体"/>
          <w:b/>
          <w:bCs/>
          <w:color w:val="auto"/>
          <w:sz w:val="24"/>
          <w:szCs w:val="24"/>
          <w:highlight w:val="none"/>
        </w:rPr>
        <w:t>项目名称：</w:t>
      </w:r>
      <w:r>
        <w:rPr>
          <w:rFonts w:hint="eastAsia" w:ascii="宋体" w:hAnsi="宋体" w:cs="宋体"/>
          <w:color w:val="auto"/>
          <w:sz w:val="24"/>
          <w:szCs w:val="24"/>
          <w:highlight w:val="none"/>
          <w:lang w:eastAsia="zh-CN"/>
        </w:rPr>
        <w:t>广州市农科院鲜蔬火锅餐厅VI品牌策划设计全案整装招标</w:t>
      </w:r>
    </w:p>
    <w:p w14:paraId="664A6F08">
      <w:pPr>
        <w:keepNext w:val="0"/>
        <w:keepLines w:val="0"/>
        <w:pageBreakBefore w:val="0"/>
        <w:widowControl/>
        <w:numPr>
          <w:ilvl w:val="0"/>
          <w:numId w:val="12"/>
        </w:numPr>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招标单位：</w:t>
      </w:r>
      <w:r>
        <w:rPr>
          <w:rFonts w:hint="eastAsia" w:ascii="宋体" w:hAnsi="宋体" w:cs="宋体"/>
          <w:color w:val="auto"/>
          <w:sz w:val="24"/>
          <w:szCs w:val="24"/>
          <w:highlight w:val="none"/>
          <w:lang w:eastAsia="zh-CN"/>
        </w:rPr>
        <w:t>广州市农科所科技发展有限公司</w:t>
      </w:r>
    </w:p>
    <w:p w14:paraId="2B816F29">
      <w:pPr>
        <w:keepNext w:val="0"/>
        <w:keepLines w:val="0"/>
        <w:pageBreakBefore w:val="0"/>
        <w:widowControl/>
        <w:numPr>
          <w:ilvl w:val="0"/>
          <w:numId w:val="12"/>
        </w:numPr>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项目地点：</w:t>
      </w:r>
      <w:r>
        <w:rPr>
          <w:rFonts w:hint="eastAsia" w:ascii="宋体" w:hAnsi="宋体" w:eastAsia="宋体" w:cs="宋体"/>
          <w:color w:val="auto"/>
          <w:sz w:val="24"/>
          <w:szCs w:val="24"/>
          <w:highlight w:val="none"/>
          <w:lang w:val="en-US" w:eastAsia="zh-CN"/>
        </w:rPr>
        <w:t>广州市琶洲大道17号之4</w:t>
      </w:r>
      <w:r>
        <w:rPr>
          <w:rFonts w:hint="eastAsia" w:ascii="宋体" w:hAnsi="宋体" w:eastAsia="宋体" w:cs="宋体"/>
          <w:color w:val="auto"/>
          <w:sz w:val="24"/>
          <w:szCs w:val="24"/>
          <w:highlight w:val="none"/>
          <w:lang w:eastAsia="zh-CN"/>
        </w:rPr>
        <w:t>。</w:t>
      </w:r>
    </w:p>
    <w:p w14:paraId="24A1ECFD">
      <w:pPr>
        <w:keepNext w:val="0"/>
        <w:keepLines w:val="0"/>
        <w:pageBreakBefore w:val="0"/>
        <w:widowControl/>
        <w:numPr>
          <w:ilvl w:val="0"/>
          <w:numId w:val="12"/>
        </w:numPr>
        <w:kinsoku/>
        <w:wordWrap/>
        <w:overflowPunct/>
        <w:topLinePunct w:val="0"/>
        <w:autoSpaceDE/>
        <w:autoSpaceDN/>
        <w:bidi w:val="0"/>
        <w:adjustRightInd/>
        <w:snapToGrid/>
        <w:spacing w:line="440" w:lineRule="exact"/>
        <w:ind w:left="0" w:leftChars="0" w:firstLine="482" w:firstLineChars="200"/>
        <w:jc w:val="left"/>
        <w:textAlignment w:val="auto"/>
        <w:rPr>
          <w:rFonts w:hint="eastAsia" w:cs="Arial" w:asciiTheme="minorEastAsia" w:hAnsiTheme="minorEastAsia" w:eastAsiaTheme="minorEastAsia"/>
          <w:color w:val="auto"/>
          <w:sz w:val="24"/>
          <w:szCs w:val="24"/>
          <w:highlight w:val="none"/>
          <w:lang w:val="en-US" w:eastAsia="zh-CN"/>
        </w:rPr>
      </w:pPr>
      <w:r>
        <w:rPr>
          <w:rFonts w:hint="eastAsia" w:ascii="宋体" w:hAnsi="宋体" w:cs="宋体"/>
          <w:b/>
          <w:bCs/>
          <w:color w:val="auto"/>
          <w:sz w:val="24"/>
          <w:szCs w:val="24"/>
          <w:highlight w:val="none"/>
          <w:lang w:val="en-US" w:eastAsia="zh-CN"/>
        </w:rPr>
        <w:t>项目建设工期</w:t>
      </w:r>
      <w:r>
        <w:rPr>
          <w:rFonts w:hint="eastAsia" w:ascii="宋体" w:hAnsi="宋体" w:cs="宋体"/>
          <w:b/>
          <w:bCs/>
          <w:color w:val="auto"/>
          <w:sz w:val="24"/>
          <w:szCs w:val="24"/>
          <w:highlight w:val="none"/>
        </w:rPr>
        <w:t>：</w:t>
      </w:r>
      <w:r>
        <w:rPr>
          <w:rFonts w:hint="eastAsia" w:cs="Arial" w:asciiTheme="minorEastAsia" w:hAnsiTheme="minorEastAsia" w:eastAsiaTheme="minorEastAsia"/>
          <w:color w:val="auto"/>
          <w:sz w:val="24"/>
          <w:szCs w:val="24"/>
          <w:highlight w:val="none"/>
          <w:lang w:val="en-US" w:eastAsia="zh-CN"/>
        </w:rPr>
        <w:t>45天（日历天）</w:t>
      </w:r>
    </w:p>
    <w:p w14:paraId="5175B754">
      <w:pPr>
        <w:keepNext w:val="0"/>
        <w:keepLines w:val="0"/>
        <w:pageBreakBefore w:val="0"/>
        <w:widowControl/>
        <w:numPr>
          <w:ilvl w:val="0"/>
          <w:numId w:val="12"/>
        </w:numPr>
        <w:kinsoku/>
        <w:wordWrap/>
        <w:overflowPunct/>
        <w:topLinePunct w:val="0"/>
        <w:autoSpaceDE/>
        <w:autoSpaceDN/>
        <w:bidi w:val="0"/>
        <w:adjustRightInd/>
        <w:snapToGrid/>
        <w:spacing w:line="440" w:lineRule="exact"/>
        <w:ind w:left="0" w:leftChars="0" w:firstLine="482" w:firstLineChars="200"/>
        <w:jc w:val="left"/>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项目概况：</w:t>
      </w:r>
    </w:p>
    <w:p w14:paraId="63F0FB97">
      <w:pPr>
        <w:keepNext w:val="0"/>
        <w:keepLines w:val="0"/>
        <w:pageBreakBefore w:val="0"/>
        <w:widowControl/>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bookmarkStart w:id="238" w:name="OLE_LINK3"/>
      <w:r>
        <w:rPr>
          <w:rFonts w:hint="eastAsia" w:ascii="宋体" w:hAnsi="宋体" w:eastAsia="宋体" w:cs="宋体"/>
          <w:color w:val="auto"/>
          <w:sz w:val="24"/>
          <w:szCs w:val="24"/>
          <w:highlight w:val="none"/>
          <w:lang w:val="en-US" w:eastAsia="zh-CN"/>
        </w:rPr>
        <w:t>广州市农科院鲜蔬火锅餐厅</w:t>
      </w:r>
      <w:bookmarkEnd w:id="238"/>
      <w:r>
        <w:rPr>
          <w:rFonts w:hint="eastAsia" w:ascii="宋体" w:hAnsi="宋体" w:eastAsia="宋体" w:cs="宋体"/>
          <w:color w:val="auto"/>
          <w:sz w:val="24"/>
          <w:szCs w:val="24"/>
          <w:highlight w:val="none"/>
          <w:lang w:val="en-US" w:eastAsia="zh-CN"/>
        </w:rPr>
        <w:t>体验店位于广州市海珠区琶洲大道17号之4，原广州乾农农业科技发展有限公司，建筑面积约180平方米，现将该办公场所拆除，升级改造为广州市农科院鲜蔬火锅餐厅体验店。通过独特的装修风格，为顾客营造健康、自然、简洁、明亮的就餐环境，传递绿色健康的饮食理念，打造一家以蔬菜特色为主题的火锅餐厅。</w:t>
      </w:r>
    </w:p>
    <w:p w14:paraId="7D79F637">
      <w:pPr>
        <w:keepNext w:val="0"/>
        <w:keepLines w:val="0"/>
        <w:pageBreakBefore w:val="0"/>
        <w:widowControl/>
        <w:numPr>
          <w:ilvl w:val="0"/>
          <w:numId w:val="0"/>
        </w:numPr>
        <w:kinsoku/>
        <w:wordWrap/>
        <w:overflowPunct/>
        <w:topLinePunct w:val="0"/>
        <w:autoSpaceDE/>
        <w:autoSpaceDN/>
        <w:bidi w:val="0"/>
        <w:adjustRightInd/>
        <w:snapToGrid w:val="0"/>
        <w:spacing w:line="440" w:lineRule="exact"/>
        <w:ind w:firstLine="480" w:firstLineChars="200"/>
        <w:jc w:val="left"/>
        <w:textAlignment w:val="auto"/>
        <w:rPr>
          <w:rFonts w:hint="eastAsia" w:hAnsi="宋体" w:cs="宋体"/>
          <w:color w:val="auto"/>
          <w:sz w:val="21"/>
          <w:szCs w:val="21"/>
          <w:highlight w:val="none"/>
          <w:lang w:val="en-US" w:eastAsia="zh-CN"/>
        </w:rPr>
      </w:pPr>
      <w:r>
        <w:rPr>
          <w:rFonts w:hint="eastAsia" w:ascii="宋体" w:hAnsi="宋体" w:eastAsia="宋体" w:cs="宋体"/>
          <w:color w:val="auto"/>
          <w:sz w:val="24"/>
          <w:szCs w:val="24"/>
          <w:highlight w:val="none"/>
          <w:lang w:val="en-US" w:eastAsia="zh-CN"/>
        </w:rPr>
        <w:t>（一）VI品牌策划：广州市农科院鲜蔬火锅餐厅自1993年成立，为推广新品蔬菜“以品尝新、奇、特蔬菜”全省闻名。荣获“2008年度最受欢迎餐饮企业”，2011年荣获“广东地标美食”称号等。餐厅将秉持“</w:t>
      </w:r>
      <w:r>
        <w:rPr>
          <w:rFonts w:hint="eastAsia" w:ascii="宋体" w:hAnsi="宋体" w:eastAsia="宋体" w:cs="宋体"/>
          <w:b/>
          <w:bCs/>
          <w:color w:val="auto"/>
          <w:sz w:val="24"/>
          <w:szCs w:val="24"/>
          <w:highlight w:val="none"/>
          <w:lang w:val="en-US" w:eastAsia="zh-CN"/>
        </w:rPr>
        <w:t>绿色、健康、时尚、特色</w:t>
      </w:r>
      <w:r>
        <w:rPr>
          <w:rFonts w:hint="eastAsia" w:ascii="宋体" w:hAnsi="宋体" w:eastAsia="宋体" w:cs="宋体"/>
          <w:color w:val="auto"/>
          <w:sz w:val="24"/>
          <w:szCs w:val="24"/>
          <w:highlight w:val="none"/>
          <w:lang w:val="en-US" w:eastAsia="zh-CN"/>
        </w:rPr>
        <w:t>”的核心理念，以健康与特色饮食为发展主线，精心打造独特的时尚美食体验。餐厅定期举办特色专项农产品品尝活动，向广大食客展示优质农产品的独特魅力。积极承办各类农产品展销活动，搭建农产品与消费者之间的桥梁，拓宽农产品的销售渠道。致力于讲好广州市乃至广东省的农业故事，传承和弘扬本地农业文化，为推动本地农业文化的传播与发展。</w:t>
      </w:r>
    </w:p>
    <w:p w14:paraId="4B8E4D02">
      <w:pPr>
        <w:numPr>
          <w:ilvl w:val="0"/>
          <w:numId w:val="0"/>
        </w:numPr>
        <w:snapToGrid w:val="0"/>
        <w:spacing w:line="360" w:lineRule="auto"/>
        <w:jc w:val="center"/>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drawing>
          <wp:inline distT="0" distB="0" distL="114300" distR="114300">
            <wp:extent cx="4573270" cy="2343785"/>
            <wp:effectExtent l="0" t="0" r="17780" b="18415"/>
            <wp:docPr id="8" name="图片 1" descr="a4b31ee0c25f00cb8a1b3406fba0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a4b31ee0c25f00cb8a1b3406fba0dca"/>
                    <pic:cNvPicPr>
                      <a:picLocks noChangeAspect="1"/>
                    </pic:cNvPicPr>
                  </pic:nvPicPr>
                  <pic:blipFill>
                    <a:blip r:embed="rId13"/>
                    <a:srcRect t="2893"/>
                    <a:stretch>
                      <a:fillRect/>
                    </a:stretch>
                  </pic:blipFill>
                  <pic:spPr>
                    <a:xfrm>
                      <a:off x="0" y="0"/>
                      <a:ext cx="4573270" cy="2343785"/>
                    </a:xfrm>
                    <a:prstGeom prst="rect">
                      <a:avLst/>
                    </a:prstGeom>
                    <a:noFill/>
                    <a:ln>
                      <a:noFill/>
                    </a:ln>
                  </pic:spPr>
                </pic:pic>
              </a:graphicData>
            </a:graphic>
          </wp:inline>
        </w:drawing>
      </w:r>
    </w:p>
    <w:p w14:paraId="35D68B63">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2021年因疫情影响，广州市农科院鲜蔬火锅餐厅停止运营。现通过VI品牌策划旨在创建独特、一致且具有影响力的品牌形象，全新打造一个成为深受市民喜爱的品牌餐厅。包括明确品牌定位、LOGO设计与标识、构建 VI 基础系统、设计 VI 应用系统、</w:t>
      </w:r>
      <w:r>
        <w:rPr>
          <w:rFonts w:hint="eastAsia" w:ascii="宋体" w:hAnsi="宋体" w:cs="宋体"/>
          <w:color w:val="auto"/>
          <w:sz w:val="24"/>
          <w:szCs w:val="24"/>
          <w:highlight w:val="none"/>
          <w:lang w:val="en-US" w:eastAsia="zh-CN"/>
        </w:rPr>
        <w:t>餐厅整体装修设计、</w:t>
      </w:r>
      <w:r>
        <w:rPr>
          <w:rFonts w:hint="eastAsia" w:ascii="宋体" w:hAnsi="宋体" w:eastAsia="宋体" w:cs="宋体"/>
          <w:color w:val="auto"/>
          <w:sz w:val="24"/>
          <w:szCs w:val="24"/>
          <w:highlight w:val="none"/>
          <w:lang w:val="en-US" w:eastAsia="zh-CN"/>
        </w:rPr>
        <w:t>品牌传播与推广</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品牌管理与维护。</w:t>
      </w:r>
    </w:p>
    <w:p w14:paraId="3BC06D9C">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bookmarkStart w:id="239" w:name="OLE_LINK7"/>
      <w:r>
        <w:rPr>
          <w:rFonts w:hint="eastAsia" w:ascii="宋体" w:hAnsi="宋体" w:eastAsia="宋体" w:cs="宋体"/>
          <w:color w:val="auto"/>
          <w:sz w:val="24"/>
          <w:szCs w:val="24"/>
          <w:highlight w:val="none"/>
          <w:lang w:val="en-US" w:eastAsia="zh-CN"/>
        </w:rPr>
        <w:t>（1）</w:t>
      </w:r>
      <w:bookmarkEnd w:id="239"/>
      <w:r>
        <w:rPr>
          <w:rFonts w:hint="eastAsia" w:ascii="宋体" w:hAnsi="宋体" w:eastAsia="宋体" w:cs="宋体"/>
          <w:color w:val="auto"/>
          <w:sz w:val="24"/>
          <w:szCs w:val="24"/>
          <w:highlight w:val="none"/>
          <w:lang w:val="en-US" w:eastAsia="zh-CN"/>
        </w:rPr>
        <w:t>明确品牌定位：餐厅以农业、绿色、健康、原生态、时尚的装修设计风格，满足老客户情怀，吸引年青消费者的喜爱。</w:t>
      </w:r>
    </w:p>
    <w:p w14:paraId="441F7B8A">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bookmarkStart w:id="240" w:name="OLE_LINK6"/>
      <w:r>
        <w:rPr>
          <w:rFonts w:hint="eastAsia" w:ascii="宋体" w:hAnsi="宋体" w:eastAsia="宋体" w:cs="宋体"/>
          <w:color w:val="auto"/>
          <w:sz w:val="24"/>
          <w:szCs w:val="24"/>
          <w:highlight w:val="none"/>
          <w:lang w:val="en-US" w:eastAsia="zh-CN"/>
        </w:rPr>
        <w:t>LOGO</w:t>
      </w:r>
      <w:bookmarkEnd w:id="240"/>
      <w:r>
        <w:rPr>
          <w:rFonts w:hint="eastAsia" w:ascii="宋体" w:hAnsi="宋体" w:eastAsia="宋体" w:cs="宋体"/>
          <w:color w:val="auto"/>
          <w:sz w:val="24"/>
          <w:szCs w:val="24"/>
          <w:highlight w:val="none"/>
          <w:lang w:val="en-US" w:eastAsia="zh-CN"/>
        </w:rPr>
        <w:t>设计：应具有独特性、识别性和象征性，色彩要符合品牌的性格和定位，风格应与品牌形象相符，展现出独特的个性。</w:t>
      </w:r>
    </w:p>
    <w:p w14:paraId="74263DFE">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（3）VI 基础系统设计：品牌以“</w:t>
      </w:r>
      <w:r>
        <w:rPr>
          <w:rFonts w:hint="eastAsia" w:ascii="宋体" w:hAnsi="宋体" w:eastAsia="宋体" w:cs="宋体"/>
          <w:b/>
          <w:bCs/>
          <w:color w:val="auto"/>
          <w:sz w:val="24"/>
          <w:szCs w:val="24"/>
          <w:highlight w:val="none"/>
          <w:lang w:val="en-US" w:eastAsia="zh-CN"/>
        </w:rPr>
        <w:t>绿色、健康、时尚、特色</w:t>
      </w:r>
      <w:r>
        <w:rPr>
          <w:rFonts w:hint="eastAsia" w:ascii="宋体" w:hAnsi="宋体" w:eastAsia="宋体" w:cs="宋体"/>
          <w:color w:val="auto"/>
          <w:sz w:val="24"/>
          <w:szCs w:val="24"/>
          <w:highlight w:val="none"/>
          <w:lang w:val="en-US" w:eastAsia="zh-CN"/>
        </w:rPr>
        <w:t>”为口号，紧扣蔬菜特色为主题，运用蔬菜造型、色彩、图案等相关的元素融入设计中，确定品牌的主色调及辅助色调，规定颜色的使用标准和搭配原则，确保品牌色彩的一致性。设计一些与品牌相关的辅助图形元素，用于丰富视觉效果和增强品牌识别度，如在品牌宣传物料中作为装饰或背景。设计可适用于后续打造连锁品牌门店。</w:t>
      </w:r>
    </w:p>
    <w:p w14:paraId="3E125C1F">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（4）VI 应用系统设计：统一使用品牌元素，展现品牌的专业性和规范性。包括店面招牌、餐牌、宣传册、海报、广告、传单、餐具定制、员工的服装、信纸信封、红包、VIP 卡、优惠券、名片、桌卡、停车票、产品包装盒、礼盒、外卖盒袋、纪念品、点餐二维码、WIFi 牌、打包盒袋、定制纸巾、调料罐、饮料杯等特色设计，营造出符合品牌定位的空间氛围，为消费者提供良好的体验环境。要突出品牌形象和宣传重点，吸引目标受众的注意力。员工制服的设计应体现品牌形象和企业文化，同时要考虑舒适性和实用性。</w:t>
      </w:r>
    </w:p>
    <w:p w14:paraId="6754D04A">
      <w:pPr>
        <w:pStyle w:val="2"/>
        <w:keepNext w:val="0"/>
        <w:keepLines w:val="0"/>
        <w:pageBreakBefore w:val="0"/>
        <w:widowControl/>
        <w:kinsoku/>
        <w:wordWrap/>
        <w:overflowPunct/>
        <w:topLinePunct w:val="0"/>
        <w:autoSpaceDE/>
        <w:autoSpaceDN/>
        <w:bidi w:val="0"/>
        <w:adjustRightInd/>
        <w:spacing w:after="0" w:line="4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（5）餐厅整体装修设计：出具餐厅具体布置装修设计图（包括门面、厨房、夜间灯光等），设计要与餐厅核心理念与农科院结合，同时包括育种展示窗/农耕文化墙</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特菜科普墙、特菜展销零售柜、绿植布置等设计，同时能对餐厅名字、宣传标语、品牌故事、菜品亮点等提供设计方案。</w:t>
      </w:r>
    </w:p>
    <w:p w14:paraId="4D9C3791">
      <w:pPr>
        <w:pStyle w:val="2"/>
        <w:keepNext w:val="0"/>
        <w:keepLines w:val="0"/>
        <w:pageBreakBefore w:val="0"/>
        <w:widowControl/>
        <w:kinsoku/>
        <w:wordWrap/>
        <w:overflowPunct/>
        <w:topLinePunct w:val="0"/>
        <w:autoSpaceDE/>
        <w:autoSpaceDN/>
        <w:bidi w:val="0"/>
        <w:adjustRightInd/>
        <w:spacing w:after="0" w:line="4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（6）餐厅策划与设计：建立餐厅会员体系，提供会员管理方案，并结合“时尚”核心理念，策划餐厅经营活动，如餐厅环境风格、可组织策划的吸客活动等创意设计。</w:t>
      </w:r>
    </w:p>
    <w:p w14:paraId="21B2597C">
      <w:pPr>
        <w:keepNext w:val="0"/>
        <w:keepLines w:val="0"/>
        <w:pageBreakBefore w:val="0"/>
        <w:widowControl/>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（7）品牌传播与推广：针对开业预热宣传设计可实施方案，并设计</w:t>
      </w:r>
      <w:r>
        <w:rPr>
          <w:rFonts w:hint="eastAsia" w:ascii="宋体" w:hAnsi="宋体" w:cs="宋体"/>
          <w:color w:val="auto"/>
          <w:sz w:val="24"/>
          <w:szCs w:val="24"/>
          <w:highlight w:val="none"/>
          <w:lang w:val="en-US" w:eastAsia="zh-CN"/>
        </w:rPr>
        <w:t>、制作</w:t>
      </w:r>
      <w:r>
        <w:rPr>
          <w:rFonts w:hint="eastAsia" w:ascii="宋体" w:hAnsi="宋体" w:eastAsia="宋体" w:cs="宋体"/>
          <w:color w:val="auto"/>
          <w:sz w:val="24"/>
          <w:szCs w:val="24"/>
          <w:highlight w:val="none"/>
          <w:lang w:val="en-US" w:eastAsia="zh-CN"/>
        </w:rPr>
        <w:t>开业宣传所需图案物料；</w:t>
      </w:r>
      <w:r>
        <w:rPr>
          <w:rFonts w:hint="eastAsia" w:ascii="宋体" w:hAnsi="宋体" w:cs="宋体"/>
          <w:color w:val="auto"/>
          <w:sz w:val="24"/>
          <w:szCs w:val="24"/>
          <w:highlight w:val="none"/>
          <w:lang w:val="en-US" w:eastAsia="zh-CN"/>
        </w:rPr>
        <w:t>外卖宣传图片、视频和外卖款式等设计；</w:t>
      </w:r>
      <w:r>
        <w:rPr>
          <w:rFonts w:hint="eastAsia" w:ascii="宋体" w:hAnsi="宋体" w:eastAsia="宋体" w:cs="宋体"/>
          <w:color w:val="auto"/>
          <w:sz w:val="24"/>
          <w:szCs w:val="24"/>
          <w:highlight w:val="none"/>
          <w:lang w:val="en-US" w:eastAsia="zh-CN"/>
        </w:rPr>
        <w:t>在餐厅运营宣传方面，设计并制定</w:t>
      </w:r>
      <w:r>
        <w:rPr>
          <w:rFonts w:hint="eastAsia" w:ascii="宋体" w:hAnsi="宋体" w:cs="宋体"/>
          <w:color w:val="auto"/>
          <w:sz w:val="24"/>
          <w:szCs w:val="24"/>
          <w:highlight w:val="none"/>
          <w:lang w:val="en-US" w:eastAsia="zh-CN"/>
        </w:rPr>
        <w:t>可实施性、有成效</w:t>
      </w:r>
      <w:r>
        <w:rPr>
          <w:rFonts w:hint="eastAsia" w:ascii="宋体" w:hAnsi="宋体" w:eastAsia="宋体" w:cs="宋体"/>
          <w:color w:val="auto"/>
          <w:sz w:val="24"/>
          <w:szCs w:val="24"/>
          <w:highlight w:val="none"/>
          <w:lang w:val="en-US" w:eastAsia="zh-CN"/>
        </w:rPr>
        <w:t>的传播渠道和方式，制作宣传图片、视频方式等传播策略广告以吸引消费者。</w:t>
      </w:r>
    </w:p>
    <w:p w14:paraId="66A9E9AD">
      <w:pPr>
        <w:snapToGrid w:val="0"/>
        <w:spacing w:line="360" w:lineRule="auto"/>
        <w:ind w:firstLine="480" w:firstLineChars="200"/>
        <w:rPr>
          <w:rFonts w:hint="eastAsia" w:ascii="宋体" w:hAnsi="宋体" w:eastAsia="宋体" w:cs="宋体"/>
          <w:color w:val="auto"/>
          <w:sz w:val="24"/>
          <w:szCs w:val="24"/>
          <w:highlight w:val="none"/>
          <w:lang w:val="en-US" w:eastAsia="zh-CN"/>
        </w:rPr>
      </w:pPr>
      <w:bookmarkStart w:id="241" w:name="OLE_LINK8"/>
      <w:r>
        <w:rPr>
          <w:rFonts w:hint="eastAsia" w:ascii="宋体" w:hAnsi="宋体" w:eastAsia="宋体" w:cs="宋体"/>
          <w:color w:val="auto"/>
          <w:sz w:val="24"/>
          <w:szCs w:val="24"/>
          <w:highlight w:val="none"/>
          <w:lang w:val="en-US" w:eastAsia="zh-CN"/>
        </w:rPr>
        <w:t>（二）餐厅设计</w:t>
      </w:r>
      <w:bookmarkEnd w:id="241"/>
      <w:r>
        <w:rPr>
          <w:rFonts w:hint="eastAsia" w:ascii="宋体" w:hAnsi="宋体" w:eastAsia="宋体" w:cs="宋体"/>
          <w:color w:val="auto"/>
          <w:sz w:val="24"/>
          <w:szCs w:val="24"/>
          <w:highlight w:val="none"/>
          <w:lang w:val="en-US" w:eastAsia="zh-CN"/>
        </w:rPr>
        <w:t>与装修要求：</w:t>
      </w:r>
    </w:p>
    <w:p w14:paraId="0CB851AC">
      <w:pPr>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餐厅设计：要根据实际环境设计出合理的装修方案。门面设计美观大方、清晰的餐厅品牌LOGO标识，突出餐厅的特色和卖点。用餐环境简洁、明亮确保顾客用餐环境舒适。餐厅拟设置“育种展示窗”“农耕文化墙”等特色功能区，打造集餐饮、科普、零售于一体的新型消费场景，重点强化品牌体系建设，承办相关的展销活动，推广优质农产品，通过品牌提升产品附加值。合理规划餐厅各个功能区域，考虑不同人数的需求，根据用餐区设置卡座、散台、2个厢房等多样化形式，同时预留足够用于展示一些特色农产品展销柜，摆放一些简单农具让顾客参观的空间。调料台、茶水台、收银台、酒柜等合理设置摆放。厨房设计要求厨具摆放位置合理、功能齐全、操作便捷、高效</w:t>
      </w:r>
      <w:bookmarkStart w:id="242" w:name="OLE_LINK9"/>
      <w:r>
        <w:rPr>
          <w:rFonts w:hint="eastAsia" w:ascii="宋体" w:hAnsi="宋体" w:eastAsia="宋体" w:cs="宋体"/>
          <w:color w:val="auto"/>
          <w:sz w:val="24"/>
          <w:szCs w:val="24"/>
          <w:highlight w:val="none"/>
          <w:lang w:val="en-US" w:eastAsia="zh-CN"/>
        </w:rPr>
        <w:t>，符合餐饮行业的卫生及安全标准要求。</w:t>
      </w:r>
      <w:bookmarkEnd w:id="242"/>
    </w:p>
    <w:p w14:paraId="782F7F1E">
      <w:pPr>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装修范围包括：餐厅的门面、招牌、灯箱，室内装修、餐桌、餐椅、餐具、展示柜、收银台、厨房设备（包括餐台电磁炉、双头炒炉、矮汤炉、蒸柜、洗水槽等）定制采购、水电改造、消防设施、通风系统等设备全部内容，确保餐厅的正常运营。严格按照国家及地方相关装修工程质量标准和规范进行施工，选用符合环保、安全要求的优质材料，环境符合餐饮行业的卫生及消防安全标准要求。</w:t>
      </w:r>
    </w:p>
    <w:p w14:paraId="35BE2BA9">
      <w:pPr>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（3）投标要求：投标单位需提供完整的设计方案，包括平面布局图、效果图、施工图（包括水电线路图、吊顶图、墙面装饰图等图纸等）。设计方案通过招标人审核后方可进行施工。</w:t>
      </w:r>
    </w:p>
    <w:p w14:paraId="5DB368BB">
      <w:pPr>
        <w:snapToGrid w:val="0"/>
        <w:spacing w:line="360" w:lineRule="auto"/>
        <w:ind w:firstLine="480" w:firstLineChars="200"/>
        <w:rPr>
          <w:rFonts w:hint="eastAsia" w:ascii="宋体" w:hAnsi="宋体" w:eastAsia="宋体" w:cs="宋体"/>
          <w:color w:val="auto"/>
          <w:spacing w:val="-4"/>
          <w:sz w:val="24"/>
          <w:szCs w:val="24"/>
          <w:highlight w:val="none"/>
          <w:u w:val="singl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具体工程量以</w:t>
      </w:r>
      <w:r>
        <w:rPr>
          <w:rFonts w:hint="eastAsia" w:ascii="宋体" w:hAnsi="宋体" w:eastAsia="宋体" w:cs="宋体"/>
          <w:bCs/>
          <w:color w:val="auto"/>
          <w:sz w:val="24"/>
          <w:szCs w:val="24"/>
          <w:highlight w:val="none"/>
          <w:lang w:eastAsia="zh-CN"/>
        </w:rPr>
        <w:t>招标人确认</w:t>
      </w:r>
      <w:r>
        <w:rPr>
          <w:rFonts w:hint="eastAsia" w:ascii="宋体" w:hAnsi="宋体" w:eastAsia="宋体" w:cs="宋体"/>
          <w:bCs/>
          <w:color w:val="auto"/>
          <w:sz w:val="24"/>
          <w:szCs w:val="24"/>
          <w:highlight w:val="none"/>
        </w:rPr>
        <w:t>的设计和工程量清单为准。</w:t>
      </w:r>
    </w:p>
    <w:p w14:paraId="57DC9D7C">
      <w:pPr>
        <w:numPr>
          <w:ilvl w:val="0"/>
          <w:numId w:val="0"/>
        </w:numPr>
        <w:snapToGrid w:val="0"/>
        <w:spacing w:line="360" w:lineRule="auto"/>
        <w:ind w:firstLine="482" w:firstLineChars="200"/>
        <w:outlineLvl w:val="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六、工程设计</w:t>
      </w:r>
    </w:p>
    <w:p w14:paraId="005C8A1D">
      <w:pPr>
        <w:snapToGrid w:val="0"/>
        <w:spacing w:line="360" w:lineRule="auto"/>
        <w:ind w:firstLine="464"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4"/>
          <w:sz w:val="24"/>
          <w:szCs w:val="24"/>
          <w:highlight w:val="none"/>
          <w:lang w:val="en-US" w:eastAsia="zh-CN"/>
        </w:rPr>
        <w:t>1.投标人须根据项目所在地的实际情况进行勘察设计（附部分现场图片及平面图供参考），并提供完整的设计方案，包括平面布局图、效果图、施工图（包括水电线路图、吊顶图、墙面装饰图等图纸等）。设计方案通过招标人审核后方可进行施工。</w:t>
      </w:r>
    </w:p>
    <w:p w14:paraId="3367B2B1">
      <w:pPr>
        <w:snapToGrid w:val="0"/>
        <w:spacing w:line="360" w:lineRule="auto"/>
        <w:jc w:val="center"/>
        <w:rPr>
          <w:rFonts w:hint="eastAsia" w:hAnsi="宋体" w:cs="宋体"/>
          <w:color w:val="auto"/>
          <w:sz w:val="21"/>
          <w:szCs w:val="21"/>
          <w:highlight w:val="none"/>
          <w:lang w:eastAsia="zh-CN"/>
        </w:rPr>
      </w:pPr>
      <w:bookmarkStart w:id="243" w:name="OLE_LINK4"/>
      <w:r>
        <w:rPr>
          <w:rFonts w:hint="eastAsia" w:ascii="宋体" w:hAnsi="宋体" w:eastAsia="宋体" w:cs="宋体"/>
          <w:color w:val="auto"/>
          <w:sz w:val="24"/>
          <w:szCs w:val="24"/>
          <w:highlight w:val="none"/>
          <w:lang w:eastAsia="zh-CN"/>
        </w:rPr>
        <w:t>（原门面图）</w:t>
      </w:r>
    </w:p>
    <w:bookmarkEnd w:id="243"/>
    <w:p w14:paraId="083C75AD">
      <w:pPr>
        <w:snapToGrid w:val="0"/>
        <w:spacing w:line="360" w:lineRule="auto"/>
        <w:jc w:val="center"/>
        <w:rPr>
          <w:rFonts w:hint="eastAsia" w:hAnsi="宋体" w:cs="宋体"/>
          <w:color w:val="auto"/>
          <w:sz w:val="21"/>
          <w:szCs w:val="21"/>
          <w:highlight w:val="none"/>
          <w:lang w:val="en-US" w:eastAsia="zh-CN"/>
        </w:rPr>
      </w:pPr>
      <w:r>
        <w:rPr>
          <w:rFonts w:hint="eastAsia" w:hAnsi="宋体" w:cs="宋体"/>
          <w:color w:val="auto"/>
          <w:sz w:val="21"/>
          <w:szCs w:val="21"/>
          <w:highlight w:val="none"/>
        </w:rPr>
        <w:drawing>
          <wp:inline distT="0" distB="0" distL="114300" distR="114300">
            <wp:extent cx="4570095" cy="2402840"/>
            <wp:effectExtent l="0" t="0" r="1905" b="165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4570095" cy="2402840"/>
                    </a:xfrm>
                    <a:prstGeom prst="rect">
                      <a:avLst/>
                    </a:prstGeom>
                    <a:noFill/>
                    <a:ln>
                      <a:noFill/>
                    </a:ln>
                  </pic:spPr>
                </pic:pic>
              </a:graphicData>
            </a:graphic>
          </wp:inline>
        </w:drawing>
      </w:r>
      <w:r>
        <w:rPr>
          <w:rFonts w:hint="eastAsia" w:hAnsi="宋体" w:cs="宋体"/>
          <w:color w:val="auto"/>
          <w:sz w:val="21"/>
          <w:szCs w:val="21"/>
          <w:highlight w:val="none"/>
          <w:lang w:val="en-US" w:eastAsia="zh-CN"/>
        </w:rPr>
        <w:t xml:space="preserve">     </w:t>
      </w:r>
    </w:p>
    <w:p w14:paraId="4A00BC03">
      <w:pPr>
        <w:snapToGrid w:val="0"/>
        <w:spacing w:line="360" w:lineRule="auto"/>
        <w:jc w:val="center"/>
        <w:outlineLvl w:val="0"/>
        <w:rPr>
          <w:rFonts w:hint="eastAsia" w:hAnsi="宋体" w:cs="宋体"/>
          <w:b/>
          <w:bCs/>
          <w:color w:val="auto"/>
          <w:sz w:val="21"/>
          <w:szCs w:val="21"/>
          <w:highlight w:val="none"/>
          <w:lang w:val="en-US" w:eastAsia="zh-CN"/>
        </w:rPr>
      </w:pPr>
      <w:bookmarkStart w:id="244" w:name="_Toc2387"/>
      <w:r>
        <w:rPr>
          <w:rFonts w:hint="eastAsia" w:hAnsi="宋体" w:cs="宋体"/>
          <w:color w:val="auto"/>
          <w:sz w:val="21"/>
          <w:szCs w:val="21"/>
          <w:highlight w:val="none"/>
          <w:lang w:val="en-US" w:eastAsia="zh-CN"/>
        </w:rPr>
        <w:drawing>
          <wp:inline distT="0" distB="0" distL="114300" distR="114300">
            <wp:extent cx="2245995" cy="1873885"/>
            <wp:effectExtent l="0" t="0" r="1905" b="12065"/>
            <wp:docPr id="9" name="图片 3" descr="3c7b2cad36487b86cca1844fe140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3c7b2cad36487b86cca1844fe14005e"/>
                    <pic:cNvPicPr>
                      <a:picLocks noChangeAspect="1"/>
                    </pic:cNvPicPr>
                  </pic:nvPicPr>
                  <pic:blipFill>
                    <a:blip r:embed="rId15"/>
                    <a:stretch>
                      <a:fillRect/>
                    </a:stretch>
                  </pic:blipFill>
                  <pic:spPr>
                    <a:xfrm>
                      <a:off x="0" y="0"/>
                      <a:ext cx="2245995" cy="1873885"/>
                    </a:xfrm>
                    <a:prstGeom prst="rect">
                      <a:avLst/>
                    </a:prstGeom>
                    <a:noFill/>
                    <a:ln>
                      <a:noFill/>
                    </a:ln>
                  </pic:spPr>
                </pic:pic>
              </a:graphicData>
            </a:graphic>
          </wp:inline>
        </w:drawing>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lang w:val="en-US" w:eastAsia="zh-CN"/>
        </w:rPr>
        <w:drawing>
          <wp:inline distT="0" distB="0" distL="114300" distR="114300">
            <wp:extent cx="2231390" cy="1875790"/>
            <wp:effectExtent l="0" t="0" r="16510" b="10160"/>
            <wp:docPr id="10" name="图片 4" descr="174546105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745461055286"/>
                    <pic:cNvPicPr>
                      <a:picLocks noChangeAspect="1"/>
                    </pic:cNvPicPr>
                  </pic:nvPicPr>
                  <pic:blipFill>
                    <a:blip r:embed="rId16"/>
                    <a:stretch>
                      <a:fillRect/>
                    </a:stretch>
                  </pic:blipFill>
                  <pic:spPr>
                    <a:xfrm>
                      <a:off x="0" y="0"/>
                      <a:ext cx="2231390" cy="1875790"/>
                    </a:xfrm>
                    <a:prstGeom prst="rect">
                      <a:avLst/>
                    </a:prstGeom>
                    <a:noFill/>
                    <a:ln>
                      <a:noFill/>
                    </a:ln>
                  </pic:spPr>
                </pic:pic>
              </a:graphicData>
            </a:graphic>
          </wp:inline>
        </w:drawing>
      </w:r>
    </w:p>
    <w:p w14:paraId="188529E7">
      <w:pPr>
        <w:snapToGrid w:val="0"/>
        <w:spacing w:line="360" w:lineRule="auto"/>
        <w:ind w:firstLine="464" w:firstLineChars="20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2.投标人统一按照约定时间段进行现场踏勘和听取招标方设计的需求、建议。因踏勘产生的一切费用由投标人自行承担。投标人不进行踏勘的，视为已熟知现场条件，自行承担相关风险。</w:t>
      </w:r>
    </w:p>
    <w:p w14:paraId="0D948878">
      <w:pPr>
        <w:keepNext w:val="0"/>
        <w:keepLines w:val="0"/>
        <w:pageBreakBefore w:val="0"/>
        <w:widowControl/>
        <w:kinsoku/>
        <w:wordWrap/>
        <w:overflowPunct/>
        <w:topLinePunct w:val="0"/>
        <w:autoSpaceDE/>
        <w:autoSpaceDN/>
        <w:bidi w:val="0"/>
        <w:adjustRightInd/>
        <w:snapToGrid w:val="0"/>
        <w:spacing w:line="360" w:lineRule="auto"/>
        <w:ind w:firstLine="464" w:firstLineChars="200"/>
        <w:textAlignment w:val="auto"/>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现场勘察时间：2025年</w:t>
      </w:r>
      <w:r>
        <w:rPr>
          <w:rFonts w:hint="eastAsia" w:ascii="宋体" w:hAnsi="宋体" w:cs="宋体"/>
          <w:color w:val="auto"/>
          <w:spacing w:val="-4"/>
          <w:sz w:val="24"/>
          <w:szCs w:val="24"/>
          <w:highlight w:val="none"/>
          <w:lang w:val="en-US" w:eastAsia="zh-CN"/>
        </w:rPr>
        <w:t>6</w:t>
      </w:r>
      <w:r>
        <w:rPr>
          <w:rFonts w:hint="eastAsia" w:ascii="宋体" w:hAnsi="宋体" w:eastAsia="宋体" w:cs="宋体"/>
          <w:color w:val="auto"/>
          <w:spacing w:val="-4"/>
          <w:sz w:val="24"/>
          <w:szCs w:val="24"/>
          <w:highlight w:val="none"/>
          <w:lang w:val="en-US" w:eastAsia="zh-CN"/>
        </w:rPr>
        <w:t>月</w:t>
      </w:r>
      <w:r>
        <w:rPr>
          <w:rFonts w:hint="eastAsia" w:ascii="宋体" w:hAnsi="宋体" w:cs="宋体"/>
          <w:color w:val="auto"/>
          <w:spacing w:val="-4"/>
          <w:sz w:val="24"/>
          <w:szCs w:val="24"/>
          <w:highlight w:val="none"/>
          <w:lang w:val="en-US" w:eastAsia="zh-CN"/>
        </w:rPr>
        <w:t>27</w:t>
      </w:r>
      <w:r>
        <w:rPr>
          <w:rFonts w:hint="eastAsia" w:ascii="宋体" w:hAnsi="宋体" w:eastAsia="宋体" w:cs="宋体"/>
          <w:color w:val="auto"/>
          <w:spacing w:val="-4"/>
          <w:sz w:val="24"/>
          <w:szCs w:val="24"/>
          <w:highlight w:val="none"/>
          <w:lang w:val="en-US" w:eastAsia="zh-CN"/>
        </w:rPr>
        <w:t>日9：00</w:t>
      </w:r>
      <w:r>
        <w:rPr>
          <w:rFonts w:hint="eastAsia" w:ascii="宋体" w:hAnsi="宋体" w:cs="宋体"/>
          <w:color w:val="auto"/>
          <w:spacing w:val="-4"/>
          <w:sz w:val="24"/>
          <w:szCs w:val="24"/>
          <w:highlight w:val="none"/>
          <w:lang w:val="en-US" w:eastAsia="zh-CN"/>
        </w:rPr>
        <w:t>-17:00</w:t>
      </w:r>
      <w:r>
        <w:rPr>
          <w:rFonts w:hint="eastAsia" w:ascii="宋体" w:hAnsi="宋体" w:eastAsia="宋体" w:cs="宋体"/>
          <w:color w:val="auto"/>
          <w:spacing w:val="-4"/>
          <w:sz w:val="24"/>
          <w:szCs w:val="24"/>
          <w:highlight w:val="none"/>
          <w:lang w:val="en-US" w:eastAsia="zh-CN"/>
        </w:rPr>
        <w:t>（勘察人员须准时到达现场，逾期不候）。</w:t>
      </w:r>
    </w:p>
    <w:p w14:paraId="6BD051EA">
      <w:pPr>
        <w:keepNext w:val="0"/>
        <w:keepLines w:val="0"/>
        <w:pageBreakBefore w:val="0"/>
        <w:widowControl/>
        <w:kinsoku/>
        <w:wordWrap/>
        <w:overflowPunct/>
        <w:topLinePunct w:val="0"/>
        <w:autoSpaceDE/>
        <w:autoSpaceDN/>
        <w:bidi w:val="0"/>
        <w:adjustRightInd/>
        <w:snapToGrid w:val="0"/>
        <w:spacing w:line="360" w:lineRule="auto"/>
        <w:ind w:firstLine="464"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4"/>
          <w:sz w:val="24"/>
          <w:szCs w:val="24"/>
          <w:highlight w:val="none"/>
          <w:lang w:val="en-US" w:eastAsia="zh-CN"/>
        </w:rPr>
        <w:t>现场地址：</w:t>
      </w:r>
      <w:r>
        <w:rPr>
          <w:rFonts w:hint="eastAsia" w:ascii="宋体" w:hAnsi="宋体" w:eastAsia="宋体" w:cs="宋体"/>
          <w:color w:val="auto"/>
          <w:sz w:val="24"/>
          <w:szCs w:val="24"/>
          <w:highlight w:val="none"/>
          <w:lang w:val="en-US" w:eastAsia="zh-CN"/>
        </w:rPr>
        <w:t>广州市琶洲大道17号之4。</w:t>
      </w:r>
    </w:p>
    <w:p w14:paraId="37F835B9">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z w:val="24"/>
          <w:szCs w:val="24"/>
          <w:highlight w:val="none"/>
          <w:lang w:val="en-US" w:eastAsia="zh-CN"/>
        </w:rPr>
        <w:t>现场勘察联系人及联系方式：程经理  020-84212243</w:t>
      </w:r>
    </w:p>
    <w:bookmarkEnd w:id="244"/>
    <w:p w14:paraId="3714B1BD">
      <w:pPr>
        <w:snapToGrid w:val="0"/>
        <w:spacing w:line="360" w:lineRule="auto"/>
        <w:ind w:firstLine="482" w:firstLineChars="200"/>
        <w:outlineLvl w:val="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七、工程量清单</w:t>
      </w:r>
    </w:p>
    <w:p w14:paraId="06CF1311">
      <w:pPr>
        <w:snapToGrid w:val="0"/>
        <w:spacing w:line="360" w:lineRule="auto"/>
        <w:ind w:firstLine="480" w:firstLineChars="200"/>
        <w:rPr>
          <w:rFonts w:hint="eastAsia" w:ascii="宋体" w:hAnsi="宋体" w:eastAsia="宋体" w:cs="宋体"/>
          <w:b/>
          <w:bCs/>
          <w:color w:val="auto"/>
          <w:spacing w:val="-4"/>
          <w:sz w:val="24"/>
          <w:szCs w:val="24"/>
          <w:highlight w:val="none"/>
          <w:lang w:val="en-US" w:eastAsia="zh-CN"/>
        </w:rPr>
      </w:pPr>
      <w:bookmarkStart w:id="245" w:name="_Toc4577"/>
      <w:r>
        <w:rPr>
          <w:rFonts w:hint="eastAsia" w:ascii="宋体" w:hAnsi="宋体" w:eastAsia="宋体" w:cs="宋体"/>
          <w:bCs/>
          <w:color w:val="auto"/>
          <w:sz w:val="24"/>
          <w:szCs w:val="24"/>
          <w:highlight w:val="none"/>
        </w:rPr>
        <w:t>工程量清单</w:t>
      </w:r>
      <w:r>
        <w:rPr>
          <w:rFonts w:hint="eastAsia" w:ascii="宋体" w:hAnsi="宋体" w:eastAsia="宋体" w:cs="宋体"/>
          <w:bCs/>
          <w:color w:val="auto"/>
          <w:sz w:val="24"/>
          <w:szCs w:val="24"/>
          <w:highlight w:val="none"/>
          <w:lang w:eastAsia="zh-CN"/>
        </w:rPr>
        <w:t>需由具有资质的造价咨询机构根据招标人确认好设计方案编制。</w:t>
      </w:r>
    </w:p>
    <w:p w14:paraId="6E439C86">
      <w:pPr>
        <w:snapToGrid w:val="0"/>
        <w:spacing w:line="360" w:lineRule="auto"/>
        <w:ind w:firstLine="482" w:firstLineChars="20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rPr>
        <w:t>商务要求</w:t>
      </w:r>
      <w:bookmarkEnd w:id="245"/>
    </w:p>
    <w:p w14:paraId="553B45FB">
      <w:pPr>
        <w:tabs>
          <w:tab w:val="left" w:pos="720"/>
        </w:tabs>
        <w:adjustRightInd w:val="0"/>
        <w:snapToGrid w:val="0"/>
        <w:spacing w:line="360" w:lineRule="auto"/>
        <w:ind w:right="113" w:rightChars="54" w:firstLine="482"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1.项目</w:t>
      </w:r>
      <w:r>
        <w:rPr>
          <w:rFonts w:hint="eastAsia" w:ascii="宋体" w:hAnsi="宋体" w:eastAsia="宋体" w:cs="宋体"/>
          <w:b/>
          <w:color w:val="auto"/>
          <w:sz w:val="24"/>
          <w:szCs w:val="24"/>
          <w:highlight w:val="none"/>
          <w:lang w:val="en-US" w:eastAsia="zh-CN"/>
        </w:rPr>
        <w:t>工期</w:t>
      </w:r>
    </w:p>
    <w:p w14:paraId="4B80D05B">
      <w:pPr>
        <w:tabs>
          <w:tab w:val="left" w:pos="720"/>
        </w:tabs>
        <w:adjustRightInd w:val="0"/>
        <w:snapToGrid w:val="0"/>
        <w:spacing w:line="360" w:lineRule="auto"/>
        <w:ind w:right="113" w:rightChars="54"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建设工期：</w:t>
      </w:r>
      <w:r>
        <w:rPr>
          <w:rFonts w:hint="eastAsia" w:ascii="宋体" w:hAnsi="宋体" w:eastAsia="宋体" w:cs="宋体"/>
          <w:color w:val="auto"/>
          <w:sz w:val="24"/>
          <w:szCs w:val="24"/>
          <w:highlight w:val="none"/>
          <w:u w:val="single"/>
          <w:lang w:val="en-US" w:eastAsia="zh-CN"/>
        </w:rPr>
        <w:t>45</w:t>
      </w:r>
      <w:r>
        <w:rPr>
          <w:rFonts w:hint="eastAsia" w:ascii="宋体" w:hAnsi="宋体" w:eastAsia="宋体" w:cs="宋体"/>
          <w:color w:val="auto"/>
          <w:sz w:val="24"/>
          <w:szCs w:val="24"/>
          <w:highlight w:val="none"/>
          <w:u w:val="single"/>
        </w:rPr>
        <w:t>天（日历天）</w:t>
      </w:r>
      <w:r>
        <w:rPr>
          <w:rFonts w:hint="eastAsia" w:ascii="宋体" w:hAnsi="宋体" w:eastAsia="宋体" w:cs="宋体"/>
          <w:bCs/>
          <w:color w:val="auto"/>
          <w:sz w:val="24"/>
          <w:szCs w:val="24"/>
          <w:highlight w:val="none"/>
        </w:rPr>
        <w:t>。</w:t>
      </w:r>
    </w:p>
    <w:p w14:paraId="0D53D283">
      <w:pPr>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项目管理要求</w:t>
      </w:r>
    </w:p>
    <w:p w14:paraId="4CED9380">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在项目执行中，必须建立项目经理和现场管理机构主要部门负责人（项目技术负责人）</w:t>
      </w:r>
      <w:r>
        <w:rPr>
          <w:rFonts w:hint="eastAsia" w:ascii="宋体" w:hAnsi="宋体" w:eastAsia="宋体" w:cs="宋体"/>
          <w:color w:val="auto"/>
          <w:sz w:val="24"/>
          <w:szCs w:val="24"/>
          <w:highlight w:val="none"/>
          <w:lang w:eastAsia="zh-CN"/>
        </w:rPr>
        <w:t>。</w:t>
      </w:r>
    </w:p>
    <w:p w14:paraId="735AB44F">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lang w:eastAsia="zh-CN"/>
        </w:rPr>
        <w:t>项目经理和现场管理机构主要部门负责人（项目技术负责人）在开工前必须到位，并接受招标人代表的查验；未到位的，按照约定承担违约责任。</w:t>
      </w:r>
    </w:p>
    <w:p w14:paraId="5C062FAE">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lang w:eastAsia="zh-CN"/>
        </w:rPr>
        <w:t>中标人因特殊情况需要更换项目经理和现场管理机构主要部门负责人（项目技术负责人）的，应至少提前7天以书面形式（附前任和后任人员的详细履历资料）向招标人提出申请，并征得招标人同意。中标人必须保证后任人员的资质、资历、业绩、实际工作能力不低于前任人员的素质。前任人员更换后，后任继续行使合同文件约定的前任的职权，履行前任的义务。</w:t>
      </w:r>
    </w:p>
    <w:p w14:paraId="7CB79A52">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lang w:eastAsia="zh-CN"/>
        </w:rPr>
        <w:t>项目经理和现场管理机构主要部门负责人（项目技术负责人）的实际工作能力和工作表现达不到要求，或工作态度存在严重不足，不适应现场工作需要，招标人有权向中标人提出撤换。中标人可以提出整改意见，如招标人不予接受，则中标人必须在7天内无条件撤换，所调换人员的资质、资历、学历、职称、实际工作能力不低于前任人员的素质。</w:t>
      </w:r>
    </w:p>
    <w:p w14:paraId="1FDE027E">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lang w:eastAsia="zh-CN"/>
        </w:rPr>
        <w:t>项目经理和现场管理机构主要部门负责人（项目技术负责人）必须全职在现场办公，不得兼职或者擅自离岗。因特殊情况需短暂离岗的，应当事先报招标人批准必须妥善安排工地现场的工作交接。</w:t>
      </w:r>
    </w:p>
    <w:p w14:paraId="04E00245">
      <w:pPr>
        <w:adjustRightInd w:val="0"/>
        <w:snapToGrid w:val="0"/>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3.施工项目商务要求</w:t>
      </w:r>
    </w:p>
    <w:p w14:paraId="66661079">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lang w:eastAsia="zh-CN"/>
        </w:rPr>
        <w:t>质量要求：本项目的材料、设备、施工须达到国家以及省、自治区、直辖市或行业的工程建设标准、规范的要求，确保工程质量，工程达到国家现行工程施工质量验收规范标准合格以上。</w:t>
      </w:r>
    </w:p>
    <w:p w14:paraId="0AEF620D">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eastAsia="zh-CN"/>
        </w:rPr>
        <w:t>安全文明施工要求：为了保持招标人的公司整洁卫生，要求中标单位在施工期间必须按工程项目技术要求落实安全文明施工，做到人离场清的基本原则。</w:t>
      </w:r>
    </w:p>
    <w:p w14:paraId="13945B20">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lang w:eastAsia="zh-CN"/>
        </w:rPr>
        <w:t>质量保证期：验收合格之日起一年。</w:t>
      </w:r>
    </w:p>
    <w:p w14:paraId="2F31EDC6">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lang w:eastAsia="zh-CN"/>
        </w:rPr>
        <w:t>验收要求：符合设计要求、现行国家和行业验收标准，验收合格。</w:t>
      </w:r>
    </w:p>
    <w:p w14:paraId="68ED440D">
      <w:pPr>
        <w:tabs>
          <w:tab w:val="left" w:pos="1260"/>
        </w:tabs>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3.5付款方式</w:t>
      </w:r>
    </w:p>
    <w:p w14:paraId="6A8EC9AE">
      <w:pPr>
        <w:keepNext w:val="0"/>
        <w:keepLines w:val="0"/>
        <w:pageBreakBefore w:val="0"/>
        <w:widowControl/>
        <w:kinsoku/>
        <w:wordWrap/>
        <w:overflowPunct/>
        <w:topLinePunct w:val="0"/>
        <w:autoSpaceDE/>
        <w:autoSpaceDN/>
        <w:bidi w:val="0"/>
        <w:adjustRightInd/>
        <w:snapToGrid w:val="0"/>
        <w:spacing w:line="360" w:lineRule="auto"/>
        <w:ind w:left="420" w:leftChars="200"/>
        <w:textAlignment w:val="auto"/>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（1）付款进度款双方签订合同时约定的为准。</w:t>
      </w:r>
    </w:p>
    <w:p w14:paraId="65CB02A3">
      <w:pPr>
        <w:keepNext w:val="0"/>
        <w:keepLines w:val="0"/>
        <w:pageBreakBefore w:val="0"/>
        <w:widowControl/>
        <w:kinsoku/>
        <w:wordWrap/>
        <w:overflowPunct/>
        <w:topLinePunct w:val="0"/>
        <w:autoSpaceDE/>
        <w:autoSpaceDN/>
        <w:bidi w:val="0"/>
        <w:adjustRightInd/>
        <w:snapToGrid w:val="0"/>
        <w:spacing w:line="360" w:lineRule="auto"/>
        <w:ind w:left="1000" w:leftChars="200" w:hanging="580" w:hangingChars="250"/>
        <w:textAlignment w:val="auto"/>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（2）项目完成验收并交付使用相关手续后，30天内向中标人支付至合同总金额的95%，剩下合同总金额的5%作为质量保证金，质量保证期满后无息支付。</w:t>
      </w:r>
    </w:p>
    <w:p w14:paraId="79AB9A23">
      <w:pPr>
        <w:keepNext w:val="0"/>
        <w:keepLines w:val="0"/>
        <w:pageBreakBefore w:val="0"/>
        <w:widowControl/>
        <w:kinsoku/>
        <w:wordWrap/>
        <w:overflowPunct/>
        <w:topLinePunct w:val="0"/>
        <w:autoSpaceDE/>
        <w:autoSpaceDN/>
        <w:bidi w:val="0"/>
        <w:adjustRightInd/>
        <w:snapToGrid w:val="0"/>
        <w:spacing w:line="360" w:lineRule="auto"/>
        <w:ind w:left="1020" w:leftChars="200" w:hanging="600" w:hangingChars="250"/>
        <w:textAlignment w:val="auto"/>
        <w:rPr>
          <w:rFonts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（3）每笔款项支付时，中标人同时向招标人提供相应金额的正式发票。</w:t>
      </w:r>
    </w:p>
    <w:p w14:paraId="709F25DD">
      <w:pPr>
        <w:rPr>
          <w:color w:val="auto"/>
          <w:highlight w:val="none"/>
        </w:rPr>
      </w:pPr>
    </w:p>
    <w:p w14:paraId="6F4206B9">
      <w:pPr>
        <w:rPr>
          <w:rFonts w:ascii="宋体" w:hAnsi="宋体" w:cs="宋体"/>
          <w:color w:val="auto"/>
          <w:sz w:val="24"/>
          <w:szCs w:val="24"/>
          <w:highlight w:val="none"/>
        </w:rPr>
      </w:pPr>
    </w:p>
    <w:p w14:paraId="33BFF845">
      <w:pPr>
        <w:rPr>
          <w:color w:val="auto"/>
          <w:sz w:val="18"/>
          <w:highlight w:val="none"/>
        </w:rPr>
      </w:pPr>
      <w:r>
        <w:rPr>
          <w:color w:val="auto"/>
          <w:highlight w:val="none"/>
        </w:rPr>
        <w:br w:type="page"/>
      </w:r>
    </w:p>
    <w:p w14:paraId="7EEE598A">
      <w:pPr>
        <w:pStyle w:val="4"/>
        <w:numPr>
          <w:ilvl w:val="0"/>
          <w:numId w:val="13"/>
        </w:numPr>
        <w:spacing w:before="200" w:after="200" w:line="360" w:lineRule="auto"/>
        <w:jc w:val="center"/>
        <w:rPr>
          <w:rFonts w:cs="方正小标宋_GBK" w:asciiTheme="minorEastAsia" w:hAnsiTheme="minorEastAsia" w:eastAsiaTheme="minorEastAsia"/>
          <w:color w:val="auto"/>
          <w:sz w:val="30"/>
          <w:szCs w:val="30"/>
          <w:highlight w:val="none"/>
        </w:rPr>
      </w:pPr>
      <w:bookmarkStart w:id="246" w:name="_Toc22518"/>
      <w:bookmarkStart w:id="247" w:name="_Toc15601"/>
      <w:bookmarkStart w:id="248" w:name="_Toc30517"/>
      <w:bookmarkStart w:id="249" w:name="_Toc25186"/>
      <w:r>
        <w:rPr>
          <w:rFonts w:hint="eastAsia" w:cs="方正小标宋_GBK" w:asciiTheme="minorEastAsia" w:hAnsiTheme="minorEastAsia" w:eastAsiaTheme="minorEastAsia"/>
          <w:color w:val="auto"/>
          <w:sz w:val="30"/>
          <w:szCs w:val="30"/>
          <w:highlight w:val="none"/>
        </w:rPr>
        <w:t>合同</w:t>
      </w:r>
      <w:bookmarkEnd w:id="218"/>
      <w:bookmarkEnd w:id="219"/>
      <w:bookmarkEnd w:id="220"/>
      <w:bookmarkEnd w:id="221"/>
      <w:bookmarkEnd w:id="222"/>
      <w:bookmarkEnd w:id="223"/>
      <w:bookmarkEnd w:id="224"/>
      <w:bookmarkEnd w:id="225"/>
      <w:bookmarkEnd w:id="226"/>
      <w:bookmarkEnd w:id="227"/>
      <w:bookmarkEnd w:id="228"/>
      <w:bookmarkEnd w:id="229"/>
      <w:bookmarkEnd w:id="230"/>
      <w:r>
        <w:rPr>
          <w:rFonts w:hint="eastAsia" w:cs="方正小标宋_GBK" w:asciiTheme="minorEastAsia" w:hAnsiTheme="minorEastAsia" w:eastAsiaTheme="minorEastAsia"/>
          <w:color w:val="auto"/>
          <w:sz w:val="30"/>
          <w:szCs w:val="30"/>
          <w:highlight w:val="none"/>
        </w:rPr>
        <w:t>格式</w:t>
      </w:r>
      <w:bookmarkEnd w:id="231"/>
      <w:bookmarkEnd w:id="232"/>
      <w:bookmarkEnd w:id="233"/>
      <w:bookmarkEnd w:id="234"/>
      <w:bookmarkEnd w:id="235"/>
      <w:bookmarkEnd w:id="236"/>
      <w:bookmarkEnd w:id="237"/>
      <w:bookmarkEnd w:id="246"/>
      <w:bookmarkEnd w:id="247"/>
      <w:bookmarkEnd w:id="248"/>
      <w:bookmarkEnd w:id="249"/>
      <w:bookmarkStart w:id="250" w:name="_Toc22295587"/>
    </w:p>
    <w:p w14:paraId="5C43C866">
      <w:pPr>
        <w:spacing w:line="360" w:lineRule="auto"/>
        <w:rPr>
          <w:rFonts w:hint="eastAsia" w:hAnsi="宋体" w:cs="宋体"/>
          <w:bCs/>
          <w:color w:val="auto"/>
          <w:sz w:val="21"/>
          <w:szCs w:val="21"/>
          <w:highlight w:val="none"/>
          <w:lang w:val="en-US" w:eastAsia="zh-CN"/>
        </w:rPr>
      </w:pPr>
      <w:bookmarkStart w:id="251" w:name="_Toc7338"/>
      <w:bookmarkStart w:id="252" w:name="_Toc5280"/>
      <w:bookmarkStart w:id="253" w:name="_Toc17468"/>
      <w:r>
        <w:rPr>
          <w:rFonts w:hint="eastAsia" w:hAnsi="宋体" w:cs="宋体"/>
          <w:bCs/>
          <w:color w:val="auto"/>
          <w:sz w:val="21"/>
          <w:szCs w:val="21"/>
          <w:highlight w:val="none"/>
        </w:rPr>
        <w:t>注：</w:t>
      </w:r>
      <w:r>
        <w:rPr>
          <w:rFonts w:hint="eastAsia" w:hAnsi="宋体" w:cs="宋体"/>
          <w:bCs/>
          <w:color w:val="auto"/>
          <w:sz w:val="21"/>
          <w:szCs w:val="21"/>
          <w:highlight w:val="none"/>
          <w:lang w:val="en-US" w:eastAsia="zh-CN"/>
        </w:rPr>
        <w:t>1、《招标人需求》中另有规定的，以招标人需求为准）。</w:t>
      </w:r>
    </w:p>
    <w:p w14:paraId="20FFD9C4">
      <w:pPr>
        <w:spacing w:line="360" w:lineRule="auto"/>
        <w:ind w:firstLine="420" w:firstLineChars="200"/>
        <w:rPr>
          <w:rFonts w:hint="eastAsia" w:hAnsi="宋体" w:cs="宋体"/>
          <w:bCs/>
          <w:color w:val="auto"/>
          <w:sz w:val="21"/>
          <w:szCs w:val="21"/>
          <w:highlight w:val="none"/>
        </w:rPr>
      </w:pPr>
      <w:r>
        <w:rPr>
          <w:rFonts w:hint="eastAsia" w:hAnsi="宋体" w:cs="宋体"/>
          <w:bCs/>
          <w:color w:val="auto"/>
          <w:sz w:val="21"/>
          <w:szCs w:val="21"/>
          <w:highlight w:val="none"/>
          <w:lang w:val="en-US" w:eastAsia="zh-CN"/>
        </w:rPr>
        <w:t>2、</w:t>
      </w:r>
      <w:r>
        <w:rPr>
          <w:rFonts w:hint="eastAsia" w:hAnsi="宋体" w:cs="宋体"/>
          <w:bCs/>
          <w:color w:val="auto"/>
          <w:sz w:val="21"/>
          <w:szCs w:val="21"/>
          <w:highlight w:val="none"/>
        </w:rPr>
        <w:t>本合同仅为合同的参考文本，甲乙双方可根据实际情况进行补充。</w:t>
      </w:r>
    </w:p>
    <w:p w14:paraId="71C60257">
      <w:pPr>
        <w:spacing w:line="360" w:lineRule="auto"/>
        <w:rPr>
          <w:rFonts w:hint="eastAsia" w:hAnsi="宋体"/>
          <w:color w:val="auto"/>
          <w:sz w:val="28"/>
          <w:highlight w:val="none"/>
        </w:rPr>
      </w:pPr>
      <w:bookmarkStart w:id="254" w:name="_Toc9752_WPSOffice_Level2"/>
    </w:p>
    <w:p w14:paraId="378D4543">
      <w:pPr>
        <w:pStyle w:val="25"/>
        <w:snapToGrid w:val="0"/>
        <w:spacing w:line="360" w:lineRule="auto"/>
        <w:rPr>
          <w:rFonts w:hint="eastAsia" w:hAnsi="宋体" w:cs="宋体"/>
          <w:b/>
          <w:bCs/>
          <w:color w:val="auto"/>
          <w:kern w:val="2"/>
          <w:sz w:val="21"/>
          <w:szCs w:val="21"/>
          <w:highlight w:val="none"/>
        </w:rPr>
      </w:pPr>
      <w:r>
        <w:rPr>
          <w:rFonts w:hint="eastAsia" w:ascii="Times New Roman" w:hAnsi="宋体" w:eastAsia="宋体" w:cs="宋体"/>
          <w:b/>
          <w:bCs/>
          <w:color w:val="auto"/>
          <w:kern w:val="0"/>
          <w:sz w:val="21"/>
          <w:szCs w:val="21"/>
          <w:highlight w:val="none"/>
          <w:lang w:val="en-US" w:eastAsia="zh-CN" w:bidi="ar-SA"/>
        </w:rPr>
        <w:t>委托方（简称甲方）：</w:t>
      </w:r>
      <w:r>
        <w:rPr>
          <w:rFonts w:hint="eastAsia" w:hAnsi="宋体" w:cs="宋体"/>
          <w:b/>
          <w:bCs/>
          <w:color w:val="auto"/>
          <w:kern w:val="2"/>
          <w:sz w:val="21"/>
          <w:szCs w:val="21"/>
          <w:highlight w:val="none"/>
        </w:rPr>
        <w:t xml:space="preserve"> </w:t>
      </w:r>
    </w:p>
    <w:p w14:paraId="61A69C54">
      <w:pPr>
        <w:snapToGrid w:val="0"/>
        <w:spacing w:line="360" w:lineRule="auto"/>
        <w:rPr>
          <w:rFonts w:hint="eastAsia" w:hAnsi="宋体" w:cs="宋体"/>
          <w:color w:val="auto"/>
          <w:sz w:val="21"/>
          <w:szCs w:val="21"/>
          <w:highlight w:val="none"/>
        </w:rPr>
      </w:pPr>
      <w:r>
        <w:rPr>
          <w:rFonts w:hint="eastAsia" w:hAnsi="宋体" w:cs="宋体"/>
          <w:b/>
          <w:bCs/>
          <w:color w:val="auto"/>
          <w:sz w:val="21"/>
          <w:szCs w:val="21"/>
          <w:highlight w:val="none"/>
        </w:rPr>
        <w:t>承接方（简称乙方）：</w:t>
      </w:r>
      <w:r>
        <w:rPr>
          <w:rFonts w:hint="eastAsia" w:hAnsi="宋体" w:cs="宋体"/>
          <w:b/>
          <w:color w:val="auto"/>
          <w:sz w:val="21"/>
          <w:szCs w:val="21"/>
          <w:highlight w:val="none"/>
        </w:rPr>
        <w:t xml:space="preserve">                         </w:t>
      </w:r>
    </w:p>
    <w:p w14:paraId="45F3C927">
      <w:pPr>
        <w:tabs>
          <w:tab w:val="left" w:pos="1440"/>
        </w:tabs>
        <w:snapToGrid w:val="0"/>
        <w:spacing w:line="360" w:lineRule="auto"/>
        <w:ind w:right="-29" w:rightChars="-14" w:firstLine="420" w:firstLineChars="200"/>
        <w:rPr>
          <w:rFonts w:hint="eastAsia" w:hAnsi="宋体" w:cs="宋体"/>
          <w:color w:val="auto"/>
          <w:sz w:val="21"/>
          <w:szCs w:val="21"/>
          <w:highlight w:val="none"/>
        </w:rPr>
      </w:pPr>
      <w:r>
        <w:rPr>
          <w:rFonts w:hint="eastAsia" w:hAnsi="宋体" w:cs="宋体"/>
          <w:color w:val="auto"/>
          <w:sz w:val="21"/>
          <w:szCs w:val="21"/>
          <w:highlight w:val="none"/>
        </w:rPr>
        <w:t>根据《中华人民共和国招标投标法》《中华人民共和国民法典》及  年  月  日</w:t>
      </w:r>
      <w:r>
        <w:rPr>
          <w:rFonts w:hint="eastAsia" w:hAnsi="宋体" w:cs="宋体"/>
          <w:color w:val="auto"/>
          <w:sz w:val="21"/>
          <w:szCs w:val="21"/>
          <w:highlight w:val="none"/>
          <w:lang w:eastAsia="zh-CN"/>
        </w:rPr>
        <w:t>招标</w:t>
      </w:r>
      <w:r>
        <w:rPr>
          <w:rFonts w:hint="eastAsia" w:hAnsi="宋体" w:cs="宋体"/>
          <w:color w:val="auto"/>
          <w:sz w:val="21"/>
          <w:szCs w:val="21"/>
          <w:highlight w:val="none"/>
        </w:rPr>
        <w:t>结果（</w:t>
      </w:r>
      <w:r>
        <w:rPr>
          <w:rFonts w:hint="eastAsia" w:hAnsi="宋体" w:cs="宋体"/>
          <w:b/>
          <w:color w:val="auto"/>
          <w:sz w:val="21"/>
          <w:szCs w:val="21"/>
          <w:highlight w:val="none"/>
        </w:rPr>
        <w:t>招标项目名称：</w:t>
      </w:r>
      <w:r>
        <w:rPr>
          <w:rFonts w:hint="eastAsia" w:hAnsi="宋体" w:cs="宋体"/>
          <w:b/>
          <w:color w:val="auto"/>
          <w:sz w:val="21"/>
          <w:szCs w:val="21"/>
          <w:highlight w:val="none"/>
          <w:lang w:eastAsia="zh-CN"/>
        </w:rPr>
        <w:t>广州市农科院鲜蔬火锅餐厅VI品牌策划设计全案整装招标</w:t>
      </w:r>
      <w:r>
        <w:rPr>
          <w:rFonts w:hint="eastAsia" w:hAnsi="宋体" w:cs="宋体"/>
          <w:b/>
          <w:color w:val="auto"/>
          <w:sz w:val="21"/>
          <w:szCs w:val="21"/>
          <w:highlight w:val="none"/>
        </w:rPr>
        <w:t>，项目编号：</w:t>
      </w:r>
      <w:r>
        <w:rPr>
          <w:rFonts w:hint="eastAsia" w:hAnsi="宋体" w:cs="宋体"/>
          <w:b/>
          <w:color w:val="auto"/>
          <w:sz w:val="21"/>
          <w:szCs w:val="21"/>
          <w:highlight w:val="none"/>
          <w:lang w:eastAsia="zh-CN"/>
        </w:rPr>
        <w:t>ZYNK20250501</w:t>
      </w:r>
      <w:r>
        <w:rPr>
          <w:rFonts w:hint="eastAsia" w:hAnsi="宋体" w:cs="宋体"/>
          <w:color w:val="auto"/>
          <w:sz w:val="21"/>
          <w:szCs w:val="21"/>
          <w:highlight w:val="none"/>
        </w:rPr>
        <w:t>；经双方协商一致，签订本合同。</w:t>
      </w:r>
    </w:p>
    <w:p w14:paraId="1C6AF950">
      <w:pPr>
        <w:snapToGrid w:val="0"/>
        <w:spacing w:line="360" w:lineRule="auto"/>
        <w:rPr>
          <w:rFonts w:hint="eastAsia" w:hAnsi="宋体" w:cs="宋体"/>
          <w:b/>
          <w:color w:val="auto"/>
          <w:sz w:val="21"/>
          <w:szCs w:val="21"/>
          <w:highlight w:val="none"/>
        </w:rPr>
      </w:pPr>
      <w:r>
        <w:rPr>
          <w:rFonts w:hint="eastAsia" w:hAnsi="宋体" w:cs="宋体"/>
          <w:b/>
          <w:color w:val="auto"/>
          <w:sz w:val="21"/>
          <w:szCs w:val="21"/>
          <w:highlight w:val="none"/>
        </w:rPr>
        <w:t>一、项目概况</w:t>
      </w:r>
    </w:p>
    <w:p w14:paraId="332962E6">
      <w:pPr>
        <w:snapToGrid w:val="0"/>
        <w:spacing w:line="360" w:lineRule="auto"/>
        <w:ind w:firstLine="420" w:firstLineChars="200"/>
        <w:rPr>
          <w:rFonts w:hint="eastAsia" w:hAnsi="宋体" w:cs="宋体"/>
          <w:color w:val="auto"/>
          <w:spacing w:val="-4"/>
          <w:sz w:val="21"/>
          <w:szCs w:val="21"/>
          <w:highlight w:val="none"/>
          <w:u w:val="single"/>
          <w:lang w:eastAsia="zh-CN"/>
        </w:rPr>
      </w:pPr>
      <w:r>
        <w:rPr>
          <w:rFonts w:hint="eastAsia" w:hAnsi="宋体" w:cs="宋体"/>
          <w:color w:val="auto"/>
          <w:sz w:val="21"/>
          <w:szCs w:val="21"/>
          <w:highlight w:val="none"/>
        </w:rPr>
        <w:t>1、项目名称：</w:t>
      </w:r>
      <w:r>
        <w:rPr>
          <w:rFonts w:hint="eastAsia" w:hAnsi="宋体" w:cs="宋体"/>
          <w:color w:val="auto"/>
          <w:spacing w:val="-4"/>
          <w:sz w:val="21"/>
          <w:szCs w:val="21"/>
          <w:highlight w:val="none"/>
          <w:u w:val="single"/>
          <w:lang w:eastAsia="zh-CN"/>
        </w:rPr>
        <w:t>广州市农科院鲜蔬火锅餐厅VI品牌策划设计全案整装招标</w:t>
      </w:r>
    </w:p>
    <w:p w14:paraId="79B65C24">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2</w:t>
      </w:r>
      <w:r>
        <w:rPr>
          <w:rFonts w:hint="eastAsia" w:hAnsi="宋体" w:cs="宋体"/>
          <w:color w:val="auto"/>
          <w:sz w:val="21"/>
          <w:szCs w:val="21"/>
          <w:highlight w:val="none"/>
          <w:lang w:eastAsia="zh-CN"/>
        </w:rPr>
        <w:t>、</w:t>
      </w:r>
      <w:r>
        <w:rPr>
          <w:rFonts w:hint="eastAsia" w:hAnsi="宋体" w:cs="宋体"/>
          <w:color w:val="auto"/>
          <w:sz w:val="21"/>
          <w:szCs w:val="21"/>
          <w:highlight w:val="none"/>
        </w:rPr>
        <w:t xml:space="preserve">项目地点： </w:t>
      </w:r>
      <w:r>
        <w:rPr>
          <w:rFonts w:hint="eastAsia" w:hAnsi="宋体" w:cs="宋体"/>
          <w:color w:val="auto"/>
          <w:sz w:val="21"/>
          <w:szCs w:val="21"/>
          <w:highlight w:val="none"/>
          <w:u w:val="single"/>
          <w:lang w:val="en-US" w:eastAsia="zh-CN"/>
        </w:rPr>
        <w:t>广州市海珠区琶洲大道17号之4</w:t>
      </w:r>
    </w:p>
    <w:p w14:paraId="3C45BF90">
      <w:pPr>
        <w:snapToGrid w:val="0"/>
        <w:spacing w:line="360" w:lineRule="auto"/>
        <w:ind w:firstLine="420" w:firstLineChars="200"/>
        <w:rPr>
          <w:rFonts w:hint="eastAsia" w:hAnsi="宋体" w:cs="宋体"/>
          <w:bCs/>
          <w:color w:val="auto"/>
          <w:sz w:val="21"/>
          <w:szCs w:val="21"/>
          <w:highlight w:val="none"/>
          <w:lang w:val="en-US" w:eastAsia="zh-CN"/>
        </w:rPr>
      </w:pPr>
      <w:r>
        <w:rPr>
          <w:rFonts w:hint="eastAsia" w:hAnsi="宋体" w:cs="宋体"/>
          <w:color w:val="auto"/>
          <w:sz w:val="21"/>
          <w:szCs w:val="21"/>
          <w:highlight w:val="none"/>
        </w:rPr>
        <w:t>3</w:t>
      </w:r>
      <w:r>
        <w:rPr>
          <w:rFonts w:hint="eastAsia" w:hAnsi="宋体" w:cs="宋体"/>
          <w:color w:val="auto"/>
          <w:sz w:val="21"/>
          <w:szCs w:val="21"/>
          <w:highlight w:val="none"/>
          <w:lang w:eastAsia="zh-CN"/>
        </w:rPr>
        <w:t>、</w:t>
      </w:r>
      <w:r>
        <w:rPr>
          <w:rFonts w:hint="eastAsia" w:hAnsi="宋体" w:cs="宋体"/>
          <w:bCs/>
          <w:color w:val="auto"/>
          <w:sz w:val="21"/>
          <w:szCs w:val="21"/>
          <w:highlight w:val="none"/>
          <w:lang w:val="en-US" w:eastAsia="zh-CN"/>
        </w:rPr>
        <w:t>建设规模及内容：</w:t>
      </w:r>
    </w:p>
    <w:p w14:paraId="5E486F32">
      <w:pPr>
        <w:keepNext w:val="0"/>
        <w:keepLines w:val="0"/>
        <w:pageBreakBefore w:val="0"/>
        <w:widowControl/>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广州市农科院鲜蔬火锅餐厅体验店位于广州市海珠区琶洲大道17号之4，原广州乾农农业科技发展有限公司，建筑面积约180平方米，现将该办公场所拆除，升级改造为广州市农科院鲜蔬火锅餐厅体验店。通过独特的装修风格，为顾客营造健康、自然、简洁、明亮的就餐环境，传递绿色健康的饮食理念，打造一家以蔬菜特色为主题的火锅餐厅。</w:t>
      </w:r>
    </w:p>
    <w:p w14:paraId="5F1D6800">
      <w:pPr>
        <w:numPr>
          <w:ilvl w:val="0"/>
          <w:numId w:val="0"/>
        </w:numPr>
        <w:snapToGrid w:val="0"/>
        <w:spacing w:line="440" w:lineRule="exact"/>
        <w:ind w:firstLine="480" w:firstLineChars="200"/>
        <w:jc w:val="left"/>
        <w:rPr>
          <w:rFonts w:hint="eastAsia" w:hAnsi="宋体" w:cs="宋体"/>
          <w:color w:val="auto"/>
          <w:sz w:val="21"/>
          <w:szCs w:val="21"/>
          <w:highlight w:val="none"/>
          <w:lang w:val="en-US" w:eastAsia="zh-CN"/>
        </w:rPr>
      </w:pPr>
      <w:r>
        <w:rPr>
          <w:rFonts w:hint="eastAsia" w:ascii="宋体" w:hAnsi="宋体" w:eastAsia="宋体" w:cs="宋体"/>
          <w:color w:val="auto"/>
          <w:sz w:val="24"/>
          <w:szCs w:val="24"/>
          <w:highlight w:val="none"/>
          <w:lang w:val="en-US" w:eastAsia="zh-CN"/>
        </w:rPr>
        <w:t>（一）VI品牌策划：广州市农科院鲜蔬火锅餐厅自1993年成立，为推广新品蔬菜“以品尝新、奇、特蔬菜”全省闻名。荣获“2008年度最受欢迎餐饮企业”，2011年荣获“广东地标美食”称号等。餐厅将秉持“</w:t>
      </w:r>
      <w:r>
        <w:rPr>
          <w:rFonts w:hint="eastAsia" w:ascii="宋体" w:hAnsi="宋体" w:eastAsia="宋体" w:cs="宋体"/>
          <w:b/>
          <w:bCs/>
          <w:color w:val="auto"/>
          <w:sz w:val="24"/>
          <w:szCs w:val="24"/>
          <w:highlight w:val="none"/>
          <w:lang w:val="en-US" w:eastAsia="zh-CN"/>
        </w:rPr>
        <w:t>绿色、健康、时尚、特色</w:t>
      </w:r>
      <w:r>
        <w:rPr>
          <w:rFonts w:hint="eastAsia" w:ascii="宋体" w:hAnsi="宋体" w:eastAsia="宋体" w:cs="宋体"/>
          <w:color w:val="auto"/>
          <w:sz w:val="24"/>
          <w:szCs w:val="24"/>
          <w:highlight w:val="none"/>
          <w:lang w:val="en-US" w:eastAsia="zh-CN"/>
        </w:rPr>
        <w:t>”的核心理念，以健康与特色饮食为发展主线，精心打造独特的时尚美食体验。餐厅定期举办特色专项农产品品尝活动，向广大食客展示优质农产品的独特魅力。积极承办各类农产品展销活动，搭建农产品与消费者之间的桥梁，拓宽农产品的销售渠道。致力于讲好广州市乃至广东省的农业故事，传承和弘扬本地农业文化，为推动本地农业文化的传播与发展。</w:t>
      </w:r>
    </w:p>
    <w:p w14:paraId="420487A5">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2021年因疫情影响，广州市农科院鲜蔬火锅餐厅停止运营。现通过VI品牌策划旨在创建独特、一致且具有影响力的品牌形象，全新打造一个成为深受市民喜爱的品牌餐厅。包括明确品牌定位、LOGO设计与标识、构建 VI 基础系统、设计 VI 应用系统、</w:t>
      </w:r>
      <w:r>
        <w:rPr>
          <w:rFonts w:hint="eastAsia" w:ascii="宋体" w:hAnsi="宋体" w:cs="宋体"/>
          <w:color w:val="auto"/>
          <w:sz w:val="24"/>
          <w:szCs w:val="24"/>
          <w:highlight w:val="none"/>
          <w:lang w:val="en-US" w:eastAsia="zh-CN"/>
        </w:rPr>
        <w:t>餐厅整体装修设计、</w:t>
      </w:r>
      <w:r>
        <w:rPr>
          <w:rFonts w:hint="eastAsia" w:ascii="宋体" w:hAnsi="宋体" w:eastAsia="宋体" w:cs="宋体"/>
          <w:color w:val="auto"/>
          <w:sz w:val="24"/>
          <w:szCs w:val="24"/>
          <w:highlight w:val="none"/>
          <w:lang w:val="en-US" w:eastAsia="zh-CN"/>
        </w:rPr>
        <w:t>品牌传播与推广</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品牌管理与维护。</w:t>
      </w:r>
    </w:p>
    <w:p w14:paraId="2FBF2A6A">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（1）明确品牌定位：餐厅以农业、绿色、健康、原生态、时尚的装修设计风格，满足老客户情怀，吸引年青消费者的喜爱。</w:t>
      </w:r>
    </w:p>
    <w:p w14:paraId="2CEE7D51">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（2）LOGO设计：应具有独特性、识别性和象征性，色彩要符合品牌的性格和定位，风格应与品牌形象相符，展现出独特的个性。</w:t>
      </w:r>
    </w:p>
    <w:p w14:paraId="06753E3C">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（3）VI 基础系统设计：品牌以“</w:t>
      </w:r>
      <w:r>
        <w:rPr>
          <w:rFonts w:hint="eastAsia" w:ascii="宋体" w:hAnsi="宋体" w:eastAsia="宋体" w:cs="宋体"/>
          <w:b/>
          <w:bCs/>
          <w:color w:val="auto"/>
          <w:sz w:val="24"/>
          <w:szCs w:val="24"/>
          <w:highlight w:val="none"/>
          <w:lang w:val="en-US" w:eastAsia="zh-CN"/>
        </w:rPr>
        <w:t>绿色、健康、时尚、特色</w:t>
      </w:r>
      <w:r>
        <w:rPr>
          <w:rFonts w:hint="eastAsia" w:ascii="宋体" w:hAnsi="宋体" w:eastAsia="宋体" w:cs="宋体"/>
          <w:color w:val="auto"/>
          <w:sz w:val="24"/>
          <w:szCs w:val="24"/>
          <w:highlight w:val="none"/>
          <w:lang w:val="en-US" w:eastAsia="zh-CN"/>
        </w:rPr>
        <w:t>”为口号，紧扣蔬菜特色为主题，运用蔬菜造型、色彩、图案等相关的元素融入设计中，确定品牌的主色调及辅助色调，规定颜色的使用标准和搭配原则，确保品牌色彩的一致性。设计一些与品牌相关的辅助图形元素，用于丰富视觉效果和增强品牌识别度，如在品牌宣传物料中作为装饰或背景。设计可适用于后续打造连锁品牌门店。</w:t>
      </w:r>
    </w:p>
    <w:p w14:paraId="45DD57BD">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（4）VI 应用系统设计：统一使用品牌元素，展现品牌的专业性和规范性。包括店面招牌、餐牌、宣传册、海报、广告、传单、餐具定制、员工的服装、信纸信封、红包、VIP 卡、优惠券、名片、桌卡、停车票、产品包装盒、礼盒、外卖盒袋、纪念品、点餐二维码、WIFi 牌、打包盒袋、定制纸巾、调料罐、饮料杯等特色设计，营造出符合品牌定位的空间氛围，为消费者提供良好的体验环境。要突出品牌形象和宣传重点，吸引目标受众的注意力。员工制服的设计应体现品牌形象和企业文化，同时要考虑舒适性和实用性。</w:t>
      </w:r>
    </w:p>
    <w:p w14:paraId="51889784">
      <w:pPr>
        <w:pStyle w:val="2"/>
        <w:keepNext w:val="0"/>
        <w:keepLines w:val="0"/>
        <w:pageBreakBefore w:val="0"/>
        <w:widowControl/>
        <w:kinsoku/>
        <w:wordWrap/>
        <w:overflowPunct/>
        <w:topLinePunct w:val="0"/>
        <w:autoSpaceDE/>
        <w:autoSpaceDN/>
        <w:bidi w:val="0"/>
        <w:adjustRightInd/>
        <w:spacing w:after="0" w:line="4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（5）餐厅整体装修设计：出具餐厅具体布置装修设计图（包括门面、厨房、夜间灯光等），设计要与餐厅核心理念与农科院结合，同时包括育种展示窗/农耕文化墙</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特菜科普墙、特菜展销零售柜、绿植布置等设计，同时能对餐厅名字、宣传标语、品牌故事、菜品亮点等提供设计方案。</w:t>
      </w:r>
    </w:p>
    <w:p w14:paraId="22A884C7">
      <w:pPr>
        <w:pStyle w:val="2"/>
        <w:keepNext w:val="0"/>
        <w:keepLines w:val="0"/>
        <w:pageBreakBefore w:val="0"/>
        <w:widowControl/>
        <w:kinsoku/>
        <w:wordWrap/>
        <w:overflowPunct/>
        <w:topLinePunct w:val="0"/>
        <w:autoSpaceDE/>
        <w:autoSpaceDN/>
        <w:bidi w:val="0"/>
        <w:adjustRightInd/>
        <w:spacing w:after="0" w:line="4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（6）餐厅策划与设计：建立餐厅会员体系，提供会员管理方案，并结合“时尚”核心理念，策划餐厅经营活动，如餐厅环境风格、可组织策划的吸客活动等创意设计。</w:t>
      </w:r>
    </w:p>
    <w:p w14:paraId="308EEA8B">
      <w:pPr>
        <w:keepNext w:val="0"/>
        <w:keepLines w:val="0"/>
        <w:pageBreakBefore w:val="0"/>
        <w:widowControl/>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（7）品牌传播与推广：针对开业预热宣传设计可实施方案，并设计</w:t>
      </w:r>
      <w:r>
        <w:rPr>
          <w:rFonts w:hint="eastAsia" w:ascii="宋体" w:hAnsi="宋体" w:cs="宋体"/>
          <w:color w:val="auto"/>
          <w:sz w:val="24"/>
          <w:szCs w:val="24"/>
          <w:highlight w:val="none"/>
          <w:lang w:val="en-US" w:eastAsia="zh-CN"/>
        </w:rPr>
        <w:t>、制作</w:t>
      </w:r>
      <w:r>
        <w:rPr>
          <w:rFonts w:hint="eastAsia" w:ascii="宋体" w:hAnsi="宋体" w:eastAsia="宋体" w:cs="宋体"/>
          <w:color w:val="auto"/>
          <w:sz w:val="24"/>
          <w:szCs w:val="24"/>
          <w:highlight w:val="none"/>
          <w:lang w:val="en-US" w:eastAsia="zh-CN"/>
        </w:rPr>
        <w:t>开业宣传所需图案物料；</w:t>
      </w:r>
      <w:r>
        <w:rPr>
          <w:rFonts w:hint="eastAsia" w:ascii="宋体" w:hAnsi="宋体" w:cs="宋体"/>
          <w:color w:val="auto"/>
          <w:sz w:val="24"/>
          <w:szCs w:val="24"/>
          <w:highlight w:val="none"/>
          <w:lang w:val="en-US" w:eastAsia="zh-CN"/>
        </w:rPr>
        <w:t>外卖宣传图片、视频和外卖款式等设计；</w:t>
      </w:r>
      <w:r>
        <w:rPr>
          <w:rFonts w:hint="eastAsia" w:ascii="宋体" w:hAnsi="宋体" w:eastAsia="宋体" w:cs="宋体"/>
          <w:color w:val="auto"/>
          <w:sz w:val="24"/>
          <w:szCs w:val="24"/>
          <w:highlight w:val="none"/>
          <w:lang w:val="en-US" w:eastAsia="zh-CN"/>
        </w:rPr>
        <w:t>在餐厅运营宣传方面，设计并制定</w:t>
      </w:r>
      <w:r>
        <w:rPr>
          <w:rFonts w:hint="eastAsia" w:ascii="宋体" w:hAnsi="宋体" w:cs="宋体"/>
          <w:color w:val="auto"/>
          <w:sz w:val="24"/>
          <w:szCs w:val="24"/>
          <w:highlight w:val="none"/>
          <w:lang w:val="en-US" w:eastAsia="zh-CN"/>
        </w:rPr>
        <w:t>可实施性、有成效</w:t>
      </w:r>
      <w:r>
        <w:rPr>
          <w:rFonts w:hint="eastAsia" w:ascii="宋体" w:hAnsi="宋体" w:eastAsia="宋体" w:cs="宋体"/>
          <w:color w:val="auto"/>
          <w:sz w:val="24"/>
          <w:szCs w:val="24"/>
          <w:highlight w:val="none"/>
          <w:lang w:val="en-US" w:eastAsia="zh-CN"/>
        </w:rPr>
        <w:t>的传播渠道和方式，制作宣传图片、视频方式等传播策略广告以吸引消费者。</w:t>
      </w:r>
    </w:p>
    <w:p w14:paraId="78C618B7">
      <w:pPr>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（二）餐厅设计与装修要求：</w:t>
      </w:r>
    </w:p>
    <w:p w14:paraId="034C08F3">
      <w:pPr>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餐厅设计：要根据实际环境设计出合理的装修方案。门面设计美观大方、清晰的餐厅品牌LOGO标识，突出餐厅的特色和卖点。用餐环境简洁、明亮确保顾客用餐环境舒适。餐厅拟设置“育种展示窗”“农耕文化墙”等特色功能区，打造集餐饮、科普、零售于一体的新型消费场景，重点强化品牌体系建设，承办相关的展销活动，推广优质农产品，通过品牌提升产品附加值。合理规划餐厅各个功能区域，考虑不同人数的需求，根据用餐区设置卡座、散台、2个厢房等多样化形式，同时预留足够用于展示一些特色农产品展销柜，摆放一些简单农具让顾客参观的空间。调料台、茶水台、收银台、酒柜等合理设置摆放。厨房设计要求厨具摆放位置合理、功能齐全、操作便捷、高效，符合餐饮行业的卫生及安全标准要求。</w:t>
      </w:r>
    </w:p>
    <w:p w14:paraId="1A15E8DA">
      <w:pPr>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装修范围包括：餐厅的门面、招牌、灯箱，室内装修、餐桌、餐椅、餐具、展示柜、收银台、厨房设备（包括餐台电磁炉、双头炒炉、矮汤炉、蒸柜、洗水槽等）定制采购、水电改造、消防设施、通风系统等设备全部内容，确保餐厅的正常运营。严格按照国家及地方相关装修工程质量标准和规范进行施工，选用符合环保、安全要求的优质材料，环境符合餐饮行业的卫生及消防安全标准要求。</w:t>
      </w:r>
    </w:p>
    <w:p w14:paraId="10257D3E">
      <w:pPr>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（3）投标要求：投标单位需提供完整的设计方案，包括平面布局图、效果图、施工图（包括水电线路图、吊顶图、墙面装饰图等图纸等）。设计方案通过招标人审核后方可进行施工。</w:t>
      </w:r>
    </w:p>
    <w:p w14:paraId="5EF3EAFB">
      <w:pPr>
        <w:snapToGrid w:val="0"/>
        <w:spacing w:line="360" w:lineRule="auto"/>
        <w:ind w:firstLine="480" w:firstLineChars="200"/>
        <w:rPr>
          <w:rFonts w:hint="eastAsia" w:ascii="宋体" w:hAnsi="宋体" w:eastAsia="宋体" w:cs="宋体"/>
          <w:color w:val="auto"/>
          <w:spacing w:val="-4"/>
          <w:sz w:val="24"/>
          <w:szCs w:val="24"/>
          <w:highlight w:val="none"/>
          <w:u w:val="singl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具体工程量以</w:t>
      </w:r>
      <w:r>
        <w:rPr>
          <w:rFonts w:hint="eastAsia" w:ascii="宋体" w:hAnsi="宋体" w:eastAsia="宋体" w:cs="宋体"/>
          <w:bCs/>
          <w:color w:val="auto"/>
          <w:sz w:val="24"/>
          <w:szCs w:val="24"/>
          <w:highlight w:val="none"/>
          <w:lang w:eastAsia="zh-CN"/>
        </w:rPr>
        <w:t>招标人确认</w:t>
      </w:r>
      <w:r>
        <w:rPr>
          <w:rFonts w:hint="eastAsia" w:ascii="宋体" w:hAnsi="宋体" w:eastAsia="宋体" w:cs="宋体"/>
          <w:bCs/>
          <w:color w:val="auto"/>
          <w:sz w:val="24"/>
          <w:szCs w:val="24"/>
          <w:highlight w:val="none"/>
        </w:rPr>
        <w:t>的设计和工程量清单为准。</w:t>
      </w:r>
    </w:p>
    <w:p w14:paraId="1127A0B2">
      <w:pPr>
        <w:snapToGrid w:val="0"/>
        <w:spacing w:line="360" w:lineRule="auto"/>
        <w:jc w:val="left"/>
        <w:rPr>
          <w:rFonts w:hint="eastAsia" w:hAnsi="宋体" w:cs="宋体"/>
          <w:b/>
          <w:color w:val="auto"/>
          <w:sz w:val="21"/>
          <w:szCs w:val="21"/>
          <w:highlight w:val="none"/>
        </w:rPr>
      </w:pPr>
      <w:r>
        <w:rPr>
          <w:rFonts w:hint="eastAsia" w:hAnsi="宋体" w:cs="宋体"/>
          <w:b/>
          <w:color w:val="auto"/>
          <w:sz w:val="21"/>
          <w:szCs w:val="21"/>
          <w:highlight w:val="none"/>
        </w:rPr>
        <w:t>二、项目合同金额</w:t>
      </w:r>
    </w:p>
    <w:p w14:paraId="24AE3CA9">
      <w:pPr>
        <w:pStyle w:val="7"/>
        <w:snapToGrid w:val="0"/>
        <w:spacing w:line="360" w:lineRule="auto"/>
        <w:ind w:firstLine="480"/>
        <w:rPr>
          <w:rFonts w:hint="eastAsia" w:hAnsi="宋体" w:cs="宋体"/>
          <w:color w:val="auto"/>
          <w:sz w:val="21"/>
          <w:szCs w:val="21"/>
          <w:highlight w:val="none"/>
        </w:rPr>
      </w:pPr>
      <w:r>
        <w:rPr>
          <w:rFonts w:hint="eastAsia" w:hAnsi="宋体" w:cs="宋体"/>
          <w:color w:val="auto"/>
          <w:sz w:val="21"/>
          <w:szCs w:val="21"/>
          <w:highlight w:val="none"/>
        </w:rPr>
        <w:t>1、合同含税总价为人民币（大写）</w:t>
      </w:r>
      <w:r>
        <w:rPr>
          <w:rFonts w:hint="eastAsia" w:hAnsi="宋体" w:cs="宋体"/>
          <w:color w:val="auto"/>
          <w:sz w:val="21"/>
          <w:szCs w:val="21"/>
          <w:highlight w:val="none"/>
          <w:u w:val="single"/>
        </w:rPr>
        <w:t xml:space="preserve">                 </w:t>
      </w:r>
      <w:r>
        <w:rPr>
          <w:rFonts w:hint="eastAsia" w:hAnsi="宋体" w:cs="宋体"/>
          <w:b/>
          <w:color w:val="auto"/>
          <w:sz w:val="21"/>
          <w:szCs w:val="21"/>
          <w:highlight w:val="none"/>
        </w:rPr>
        <w:t xml:space="preserve">（小写）：¥ </w:t>
      </w:r>
      <w:r>
        <w:rPr>
          <w:rFonts w:hint="eastAsia" w:hAnsi="宋体" w:cs="宋体"/>
          <w:b w:val="0"/>
          <w:bCs/>
          <w:color w:val="auto"/>
          <w:sz w:val="21"/>
          <w:szCs w:val="21"/>
          <w:highlight w:val="none"/>
          <w:u w:val="single"/>
        </w:rPr>
        <w:t xml:space="preserve">          </w:t>
      </w:r>
      <w:r>
        <w:rPr>
          <w:rFonts w:hint="eastAsia" w:hAnsi="宋体" w:cs="宋体"/>
          <w:bCs/>
          <w:color w:val="auto"/>
          <w:sz w:val="21"/>
          <w:szCs w:val="21"/>
          <w:highlight w:val="none"/>
        </w:rPr>
        <w:t>元</w:t>
      </w:r>
      <w:r>
        <w:rPr>
          <w:rFonts w:hint="eastAsia" w:hAnsi="宋体" w:cs="宋体"/>
          <w:b/>
          <w:color w:val="auto"/>
          <w:sz w:val="21"/>
          <w:szCs w:val="21"/>
          <w:highlight w:val="none"/>
        </w:rPr>
        <w:t>。</w:t>
      </w:r>
    </w:p>
    <w:p w14:paraId="1231FB09">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lang w:val="en-US" w:eastAsia="zh-CN"/>
        </w:rPr>
        <w:t>2</w:t>
      </w:r>
      <w:r>
        <w:rPr>
          <w:rFonts w:hint="eastAsia" w:hAnsi="宋体" w:cs="宋体"/>
          <w:color w:val="auto"/>
          <w:sz w:val="21"/>
          <w:szCs w:val="21"/>
          <w:highlight w:val="none"/>
        </w:rPr>
        <w:t>、乙方在申请甲方款项支付前</w:t>
      </w:r>
      <w:r>
        <w:rPr>
          <w:rFonts w:hint="eastAsia" w:hAnsi="宋体" w:cs="宋体"/>
          <w:color w:val="auto"/>
          <w:sz w:val="21"/>
          <w:szCs w:val="21"/>
          <w:highlight w:val="none"/>
          <w:lang w:eastAsia="zh-CN"/>
        </w:rPr>
        <w:t>应</w:t>
      </w:r>
      <w:r>
        <w:rPr>
          <w:rFonts w:hint="eastAsia" w:hAnsi="宋体" w:cs="宋体"/>
          <w:color w:val="auto"/>
          <w:sz w:val="21"/>
          <w:szCs w:val="21"/>
          <w:highlight w:val="none"/>
        </w:rPr>
        <w:t>开具等额的合法合规的增值税普通发票。</w:t>
      </w:r>
    </w:p>
    <w:p w14:paraId="4DC1EC58">
      <w:pPr>
        <w:tabs>
          <w:tab w:val="left" w:pos="720"/>
        </w:tabs>
        <w:adjustRightInd w:val="0"/>
        <w:snapToGrid w:val="0"/>
        <w:spacing w:line="360" w:lineRule="auto"/>
        <w:ind w:left="422" w:right="113" w:rightChars="54" w:hanging="422" w:hangingChars="200"/>
        <w:rPr>
          <w:rFonts w:hint="eastAsia" w:hAnsi="宋体" w:cs="宋体"/>
          <w:b/>
          <w:color w:val="auto"/>
          <w:sz w:val="21"/>
          <w:szCs w:val="21"/>
          <w:highlight w:val="none"/>
        </w:rPr>
      </w:pPr>
      <w:r>
        <w:rPr>
          <w:rFonts w:hint="eastAsia" w:hAnsi="宋体" w:cs="宋体"/>
          <w:b/>
          <w:color w:val="auto"/>
          <w:sz w:val="21"/>
          <w:szCs w:val="21"/>
          <w:highlight w:val="none"/>
        </w:rPr>
        <w:t>三、项目完成时间：</w:t>
      </w:r>
    </w:p>
    <w:p w14:paraId="175D7B85">
      <w:pPr>
        <w:tabs>
          <w:tab w:val="left" w:pos="720"/>
        </w:tabs>
        <w:adjustRightInd w:val="0"/>
        <w:snapToGrid w:val="0"/>
        <w:spacing w:line="360" w:lineRule="auto"/>
        <w:ind w:right="113" w:rightChars="54" w:firstLine="420" w:firstLineChars="200"/>
        <w:rPr>
          <w:rFonts w:hint="eastAsia" w:hAnsi="宋体" w:cs="宋体"/>
          <w:bCs/>
          <w:color w:val="auto"/>
          <w:sz w:val="21"/>
          <w:szCs w:val="21"/>
          <w:highlight w:val="none"/>
        </w:rPr>
      </w:pPr>
      <w:r>
        <w:rPr>
          <w:rFonts w:hint="eastAsia" w:hAnsi="宋体" w:cs="宋体"/>
          <w:color w:val="auto"/>
          <w:sz w:val="21"/>
          <w:szCs w:val="21"/>
          <w:highlight w:val="none"/>
        </w:rPr>
        <w:t>建设工期：</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rPr>
        <w:t>天（日历天）</w:t>
      </w:r>
      <w:r>
        <w:rPr>
          <w:rFonts w:hint="eastAsia" w:hAnsi="宋体" w:cs="宋体"/>
          <w:bCs/>
          <w:color w:val="auto"/>
          <w:sz w:val="21"/>
          <w:szCs w:val="21"/>
          <w:highlight w:val="none"/>
        </w:rPr>
        <w:t>。</w:t>
      </w:r>
    </w:p>
    <w:p w14:paraId="4A40EF97">
      <w:pPr>
        <w:adjustRightInd w:val="0"/>
        <w:snapToGrid w:val="0"/>
        <w:spacing w:line="360" w:lineRule="auto"/>
        <w:rPr>
          <w:rFonts w:hint="eastAsia" w:hAnsi="宋体" w:cs="宋体"/>
          <w:b/>
          <w:bCs/>
          <w:color w:val="auto"/>
          <w:sz w:val="21"/>
          <w:szCs w:val="21"/>
          <w:highlight w:val="none"/>
        </w:rPr>
      </w:pPr>
      <w:r>
        <w:rPr>
          <w:rFonts w:hint="eastAsia" w:hAnsi="宋体" w:cs="宋体"/>
          <w:b/>
          <w:color w:val="auto"/>
          <w:sz w:val="21"/>
          <w:szCs w:val="21"/>
          <w:highlight w:val="none"/>
        </w:rPr>
        <w:t>四、</w:t>
      </w:r>
      <w:r>
        <w:rPr>
          <w:rFonts w:hint="eastAsia" w:hAnsi="宋体" w:cs="宋体"/>
          <w:b/>
          <w:bCs/>
          <w:color w:val="auto"/>
          <w:sz w:val="21"/>
          <w:szCs w:val="21"/>
          <w:highlight w:val="none"/>
        </w:rPr>
        <w:t>项目管理要求</w:t>
      </w:r>
    </w:p>
    <w:p w14:paraId="55D75935">
      <w:pPr>
        <w:adjustRightInd w:val="0"/>
        <w:snapToGrid w:val="0"/>
        <w:spacing w:line="360" w:lineRule="auto"/>
        <w:ind w:firstLine="420" w:firstLineChars="200"/>
        <w:rPr>
          <w:rFonts w:hint="eastAsia" w:hAnsi="宋体" w:cs="宋体"/>
          <w:color w:val="auto"/>
          <w:sz w:val="21"/>
          <w:szCs w:val="21"/>
          <w:highlight w:val="none"/>
          <w:lang w:eastAsia="zh-CN"/>
        </w:rPr>
      </w:pP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乙方</w:t>
      </w:r>
      <w:r>
        <w:rPr>
          <w:rFonts w:hint="eastAsia" w:hAnsi="宋体" w:cs="宋体"/>
          <w:color w:val="auto"/>
          <w:sz w:val="21"/>
          <w:szCs w:val="21"/>
          <w:highlight w:val="none"/>
        </w:rPr>
        <w:t>在项目执行中，必须建立项目经理和现场管理机构主要部门负责人（项目技术负责人）</w:t>
      </w:r>
      <w:r>
        <w:rPr>
          <w:rFonts w:hint="eastAsia" w:hAnsi="宋体" w:cs="宋体"/>
          <w:color w:val="auto"/>
          <w:sz w:val="21"/>
          <w:szCs w:val="21"/>
          <w:highlight w:val="none"/>
          <w:lang w:eastAsia="zh-CN"/>
        </w:rPr>
        <w:t>。</w:t>
      </w:r>
    </w:p>
    <w:p w14:paraId="5089C661">
      <w:pPr>
        <w:adjustRightInd w:val="0"/>
        <w:snapToGrid w:val="0"/>
        <w:spacing w:line="360" w:lineRule="auto"/>
        <w:ind w:firstLine="420" w:firstLineChars="200"/>
        <w:rPr>
          <w:rFonts w:hint="eastAsia" w:hAnsi="宋体" w:cs="宋体"/>
          <w:color w:val="auto"/>
          <w:sz w:val="21"/>
          <w:szCs w:val="21"/>
          <w:highlight w:val="none"/>
          <w:lang w:eastAsia="zh-CN"/>
        </w:rPr>
      </w:pPr>
      <w:r>
        <w:rPr>
          <w:rFonts w:hint="eastAsia" w:hAnsi="宋体" w:cs="宋体"/>
          <w:color w:val="auto"/>
          <w:sz w:val="21"/>
          <w:szCs w:val="21"/>
          <w:highlight w:val="none"/>
          <w:lang w:val="en-US" w:eastAsia="zh-CN"/>
        </w:rPr>
        <w:t>2、</w:t>
      </w:r>
      <w:r>
        <w:rPr>
          <w:rFonts w:hint="eastAsia" w:hAnsi="宋体" w:cs="宋体"/>
          <w:color w:val="auto"/>
          <w:sz w:val="21"/>
          <w:szCs w:val="21"/>
          <w:highlight w:val="none"/>
          <w:lang w:eastAsia="zh-CN"/>
        </w:rPr>
        <w:t>项目经理和现场管理机构主要部门负责人（项目技术负责人）在开工前必须到位，并接受甲方代表的查验；未到位的，按照约定承担违约责任。</w:t>
      </w:r>
    </w:p>
    <w:p w14:paraId="5CF919C9">
      <w:pPr>
        <w:adjustRightInd w:val="0"/>
        <w:snapToGrid w:val="0"/>
        <w:spacing w:line="360" w:lineRule="auto"/>
        <w:ind w:firstLine="420" w:firstLineChars="200"/>
        <w:rPr>
          <w:rFonts w:hint="eastAsia" w:hAnsi="宋体" w:cs="宋体"/>
          <w:color w:val="auto"/>
          <w:sz w:val="21"/>
          <w:szCs w:val="21"/>
          <w:highlight w:val="none"/>
          <w:lang w:eastAsia="zh-CN"/>
        </w:rPr>
      </w:pPr>
      <w:r>
        <w:rPr>
          <w:rFonts w:hint="eastAsia" w:hAnsi="宋体" w:cs="宋体"/>
          <w:color w:val="auto"/>
          <w:sz w:val="21"/>
          <w:szCs w:val="21"/>
          <w:highlight w:val="none"/>
          <w:lang w:val="en-US" w:eastAsia="zh-CN"/>
        </w:rPr>
        <w:t>3、</w:t>
      </w:r>
      <w:r>
        <w:rPr>
          <w:rFonts w:hint="eastAsia" w:hAnsi="宋体" w:cs="宋体"/>
          <w:color w:val="auto"/>
          <w:sz w:val="21"/>
          <w:szCs w:val="21"/>
          <w:highlight w:val="none"/>
          <w:lang w:eastAsia="zh-CN"/>
        </w:rPr>
        <w:t>乙方因特殊情况需要更换项目经理和现场管理机构主要部门负责人（项目技术负责人）的，应至少提前7天以书面形式（附前任和后任人员的详细履历资料）向甲方提出申请，并征得甲方同意。乙方必须保证后任人员的资质、资历、业绩、实际工作能力不低于前任人员的素质。前任人员更换后，后任继续行驶合同文件约定的前任的职权，履行前任的义务。</w:t>
      </w:r>
    </w:p>
    <w:p w14:paraId="0F4818EF">
      <w:pPr>
        <w:adjustRightInd w:val="0"/>
        <w:snapToGrid w:val="0"/>
        <w:spacing w:line="360" w:lineRule="auto"/>
        <w:ind w:firstLine="420" w:firstLineChars="200"/>
        <w:rPr>
          <w:rFonts w:hint="eastAsia" w:hAnsi="宋体" w:cs="宋体"/>
          <w:color w:val="auto"/>
          <w:sz w:val="21"/>
          <w:szCs w:val="21"/>
          <w:highlight w:val="none"/>
          <w:lang w:eastAsia="zh-CN"/>
        </w:rPr>
      </w:pPr>
      <w:r>
        <w:rPr>
          <w:rFonts w:hint="eastAsia" w:hAnsi="宋体" w:cs="宋体"/>
          <w:color w:val="auto"/>
          <w:sz w:val="21"/>
          <w:szCs w:val="21"/>
          <w:highlight w:val="none"/>
          <w:lang w:val="en-US" w:eastAsia="zh-CN"/>
        </w:rPr>
        <w:t>4、</w:t>
      </w:r>
      <w:r>
        <w:rPr>
          <w:rFonts w:hint="eastAsia" w:hAnsi="宋体" w:cs="宋体"/>
          <w:color w:val="auto"/>
          <w:sz w:val="21"/>
          <w:szCs w:val="21"/>
          <w:highlight w:val="none"/>
          <w:lang w:eastAsia="zh-CN"/>
        </w:rPr>
        <w:t>项目经理和现场管理机构主要部门负责人（项目技术负责人）的实际工作能力和工作表现达不到要求，或工作态度存在严重不足，不适应现场工作需要，甲方有权向乙方提出撤换。乙方可以提出整改意见，如甲方不予接受，则乙方必须在7天内无条件撤换，所调换来人员的资质、资历、学历、职称、实际工作能力不低于前任人员的素质。</w:t>
      </w:r>
    </w:p>
    <w:p w14:paraId="0AE39D7E">
      <w:pPr>
        <w:adjustRightInd w:val="0"/>
        <w:snapToGrid w:val="0"/>
        <w:spacing w:line="360" w:lineRule="auto"/>
        <w:ind w:firstLine="420" w:firstLineChars="200"/>
        <w:rPr>
          <w:rFonts w:hint="eastAsia" w:hAnsi="宋体" w:cs="宋体"/>
          <w:color w:val="auto"/>
          <w:sz w:val="21"/>
          <w:szCs w:val="21"/>
          <w:highlight w:val="none"/>
          <w:lang w:eastAsia="zh-CN"/>
        </w:rPr>
      </w:pPr>
      <w:r>
        <w:rPr>
          <w:rFonts w:hint="eastAsia" w:hAnsi="宋体" w:cs="宋体"/>
          <w:color w:val="auto"/>
          <w:sz w:val="21"/>
          <w:szCs w:val="21"/>
          <w:highlight w:val="none"/>
          <w:lang w:val="en-US" w:eastAsia="zh-CN"/>
        </w:rPr>
        <w:t>5、</w:t>
      </w:r>
      <w:r>
        <w:rPr>
          <w:rFonts w:hint="eastAsia" w:hAnsi="宋体" w:cs="宋体"/>
          <w:color w:val="auto"/>
          <w:sz w:val="21"/>
          <w:szCs w:val="21"/>
          <w:highlight w:val="none"/>
          <w:lang w:eastAsia="zh-CN"/>
        </w:rPr>
        <w:t>项目经理和现场管理机构主要部门负责人（项目技术负责人）必须全职在现场办公，不得兼职或者擅自离岗。因特殊情况需短暂离岗的，应当事先报甲方批准必须妥善安排工地现场的工作交接。</w:t>
      </w:r>
    </w:p>
    <w:p w14:paraId="77199D5B">
      <w:pPr>
        <w:adjustRightInd w:val="0"/>
        <w:snapToGrid w:val="0"/>
        <w:spacing w:line="360" w:lineRule="auto"/>
        <w:rPr>
          <w:rFonts w:hint="eastAsia" w:hAnsi="宋体" w:cs="宋体"/>
          <w:b/>
          <w:bCs/>
          <w:color w:val="auto"/>
          <w:sz w:val="21"/>
          <w:szCs w:val="21"/>
          <w:highlight w:val="none"/>
          <w:lang w:eastAsia="zh-CN"/>
        </w:rPr>
      </w:pPr>
      <w:r>
        <w:rPr>
          <w:rFonts w:hint="eastAsia" w:hAnsi="宋体" w:cs="宋体"/>
          <w:b/>
          <w:bCs/>
          <w:color w:val="auto"/>
          <w:sz w:val="21"/>
          <w:szCs w:val="21"/>
          <w:highlight w:val="none"/>
          <w:lang w:val="en-US" w:eastAsia="zh-CN"/>
        </w:rPr>
        <w:t>五、</w:t>
      </w:r>
      <w:r>
        <w:rPr>
          <w:rFonts w:hint="eastAsia" w:hAnsi="宋体" w:cs="宋体"/>
          <w:b/>
          <w:bCs/>
          <w:color w:val="auto"/>
          <w:sz w:val="21"/>
          <w:szCs w:val="21"/>
          <w:highlight w:val="none"/>
          <w:lang w:eastAsia="zh-CN"/>
        </w:rPr>
        <w:t>质量要求：</w:t>
      </w:r>
    </w:p>
    <w:p w14:paraId="35FBDCFC">
      <w:pPr>
        <w:adjustRightInd w:val="0"/>
        <w:snapToGrid w:val="0"/>
        <w:spacing w:line="360" w:lineRule="auto"/>
        <w:ind w:firstLine="420" w:firstLineChars="200"/>
        <w:rPr>
          <w:rFonts w:hint="eastAsia" w:hAnsi="宋体" w:cs="宋体"/>
          <w:color w:val="auto"/>
          <w:sz w:val="21"/>
          <w:szCs w:val="21"/>
          <w:highlight w:val="none"/>
          <w:lang w:eastAsia="zh-CN"/>
        </w:rPr>
      </w:pPr>
      <w:r>
        <w:rPr>
          <w:rFonts w:hint="eastAsia" w:hAnsi="宋体" w:cs="宋体"/>
          <w:color w:val="auto"/>
          <w:sz w:val="21"/>
          <w:szCs w:val="21"/>
          <w:highlight w:val="none"/>
          <w:lang w:eastAsia="zh-CN"/>
        </w:rPr>
        <w:t>本项目的材料、设备、施工须达到国家以及省、自治区、直辖市或行业的工程建设标准、规范的要求，确保工程质量，工程达到国家现行工程施工质量验收规范标准合格以上。</w:t>
      </w:r>
    </w:p>
    <w:p w14:paraId="54889532">
      <w:pPr>
        <w:adjustRightInd w:val="0"/>
        <w:snapToGrid w:val="0"/>
        <w:spacing w:line="360" w:lineRule="auto"/>
        <w:rPr>
          <w:rFonts w:hint="eastAsia" w:hAnsi="宋体" w:cs="宋体"/>
          <w:b/>
          <w:bCs/>
          <w:color w:val="auto"/>
          <w:sz w:val="21"/>
          <w:szCs w:val="21"/>
          <w:highlight w:val="none"/>
          <w:lang w:eastAsia="zh-CN"/>
        </w:rPr>
      </w:pPr>
      <w:r>
        <w:rPr>
          <w:rFonts w:hint="eastAsia" w:hAnsi="宋体" w:cs="宋体"/>
          <w:b/>
          <w:bCs/>
          <w:color w:val="auto"/>
          <w:sz w:val="21"/>
          <w:szCs w:val="21"/>
          <w:highlight w:val="none"/>
          <w:lang w:val="en-US" w:eastAsia="zh-CN"/>
        </w:rPr>
        <w:t>六、</w:t>
      </w:r>
      <w:r>
        <w:rPr>
          <w:rFonts w:hint="eastAsia" w:hAnsi="宋体" w:cs="宋体"/>
          <w:b/>
          <w:bCs/>
          <w:color w:val="auto"/>
          <w:sz w:val="21"/>
          <w:szCs w:val="21"/>
          <w:highlight w:val="none"/>
          <w:lang w:eastAsia="zh-CN"/>
        </w:rPr>
        <w:t>安全文明施工要求：</w:t>
      </w:r>
    </w:p>
    <w:p w14:paraId="74B707BA">
      <w:pPr>
        <w:adjustRightInd w:val="0"/>
        <w:snapToGrid w:val="0"/>
        <w:spacing w:line="360" w:lineRule="auto"/>
        <w:ind w:firstLine="420" w:firstLineChars="200"/>
        <w:rPr>
          <w:rFonts w:hint="eastAsia" w:hAnsi="宋体" w:cs="宋体"/>
          <w:color w:val="auto"/>
          <w:sz w:val="21"/>
          <w:szCs w:val="21"/>
          <w:highlight w:val="none"/>
          <w:lang w:eastAsia="zh-CN"/>
        </w:rPr>
      </w:pPr>
      <w:r>
        <w:rPr>
          <w:rFonts w:hint="eastAsia" w:hAnsi="宋体" w:cs="宋体"/>
          <w:color w:val="auto"/>
          <w:sz w:val="21"/>
          <w:szCs w:val="21"/>
          <w:highlight w:val="none"/>
          <w:lang w:eastAsia="zh-CN"/>
        </w:rPr>
        <w:t>为了保持招标人的公司整洁卫生，要求中标单位在施工期间必须按工程项目技术要求落实安全文明施工，做到人离场清的基本原则。</w:t>
      </w:r>
    </w:p>
    <w:p w14:paraId="10E35FE7">
      <w:pPr>
        <w:adjustRightInd w:val="0"/>
        <w:snapToGrid w:val="0"/>
        <w:spacing w:line="360" w:lineRule="auto"/>
        <w:rPr>
          <w:rFonts w:hint="eastAsia" w:hAnsi="宋体" w:cs="宋体"/>
          <w:b/>
          <w:bCs/>
          <w:color w:val="auto"/>
          <w:sz w:val="21"/>
          <w:szCs w:val="21"/>
          <w:highlight w:val="none"/>
          <w:lang w:eastAsia="zh-CN"/>
        </w:rPr>
      </w:pPr>
      <w:r>
        <w:rPr>
          <w:rFonts w:hint="eastAsia" w:hAnsi="宋体" w:cs="宋体"/>
          <w:b/>
          <w:bCs/>
          <w:color w:val="auto"/>
          <w:sz w:val="21"/>
          <w:szCs w:val="21"/>
          <w:highlight w:val="none"/>
          <w:lang w:val="en-US" w:eastAsia="zh-CN"/>
        </w:rPr>
        <w:t>七、</w:t>
      </w:r>
      <w:r>
        <w:rPr>
          <w:rFonts w:hint="eastAsia" w:hAnsi="宋体" w:cs="宋体"/>
          <w:b/>
          <w:bCs/>
          <w:color w:val="auto"/>
          <w:sz w:val="21"/>
          <w:szCs w:val="21"/>
          <w:highlight w:val="none"/>
          <w:lang w:eastAsia="zh-CN"/>
        </w:rPr>
        <w:t>质量保证期：</w:t>
      </w:r>
    </w:p>
    <w:p w14:paraId="228CE2BA">
      <w:pPr>
        <w:adjustRightInd w:val="0"/>
        <w:snapToGrid w:val="0"/>
        <w:spacing w:line="360" w:lineRule="auto"/>
        <w:ind w:firstLine="420" w:firstLineChars="200"/>
        <w:rPr>
          <w:rFonts w:hint="eastAsia" w:hAnsi="宋体" w:cs="宋体"/>
          <w:color w:val="auto"/>
          <w:sz w:val="21"/>
          <w:szCs w:val="21"/>
          <w:highlight w:val="none"/>
          <w:lang w:eastAsia="zh-CN"/>
        </w:rPr>
      </w:pPr>
      <w:r>
        <w:rPr>
          <w:rFonts w:hint="eastAsia" w:hAnsi="宋体" w:cs="宋体"/>
          <w:color w:val="auto"/>
          <w:sz w:val="21"/>
          <w:szCs w:val="21"/>
          <w:highlight w:val="none"/>
          <w:lang w:eastAsia="zh-CN"/>
        </w:rPr>
        <w:t>验收合格之日起一年。</w:t>
      </w:r>
    </w:p>
    <w:p w14:paraId="77719905">
      <w:pPr>
        <w:adjustRightInd w:val="0"/>
        <w:snapToGrid w:val="0"/>
        <w:spacing w:line="360" w:lineRule="auto"/>
        <w:ind w:left="422" w:hanging="422" w:hangingChars="200"/>
        <w:rPr>
          <w:rFonts w:hint="eastAsia" w:hAnsi="宋体" w:cs="宋体"/>
          <w:color w:val="auto"/>
          <w:sz w:val="21"/>
          <w:szCs w:val="21"/>
          <w:highlight w:val="none"/>
          <w:lang w:eastAsia="zh-CN"/>
        </w:rPr>
      </w:pPr>
      <w:r>
        <w:rPr>
          <w:rFonts w:hint="eastAsia" w:hAnsi="宋体" w:cs="宋体"/>
          <w:b/>
          <w:bCs/>
          <w:color w:val="auto"/>
          <w:sz w:val="21"/>
          <w:szCs w:val="21"/>
          <w:highlight w:val="none"/>
          <w:lang w:val="en-US" w:eastAsia="zh-CN"/>
        </w:rPr>
        <w:t>八、</w:t>
      </w:r>
      <w:r>
        <w:rPr>
          <w:rFonts w:hint="eastAsia" w:hAnsi="宋体" w:cs="宋体"/>
          <w:b/>
          <w:bCs/>
          <w:color w:val="auto"/>
          <w:sz w:val="21"/>
          <w:szCs w:val="21"/>
          <w:highlight w:val="none"/>
          <w:lang w:eastAsia="zh-CN"/>
        </w:rPr>
        <w:t>验收要求</w:t>
      </w:r>
      <w:r>
        <w:rPr>
          <w:rFonts w:hint="eastAsia" w:hAnsi="宋体" w:cs="宋体"/>
          <w:color w:val="auto"/>
          <w:sz w:val="21"/>
          <w:szCs w:val="21"/>
          <w:highlight w:val="none"/>
          <w:lang w:eastAsia="zh-CN"/>
        </w:rPr>
        <w:br w:type="textWrapping"/>
      </w:r>
      <w:r>
        <w:rPr>
          <w:rFonts w:hint="eastAsia" w:hAnsi="宋体" w:cs="宋体"/>
          <w:color w:val="auto"/>
          <w:sz w:val="21"/>
          <w:szCs w:val="21"/>
          <w:highlight w:val="none"/>
          <w:lang w:eastAsia="zh-CN"/>
        </w:rPr>
        <w:t>符合设计要求、现行国家和行业验收标准，验收合格。</w:t>
      </w:r>
    </w:p>
    <w:p w14:paraId="481D9B35">
      <w:pPr>
        <w:keepNext w:val="0"/>
        <w:keepLines w:val="0"/>
        <w:pageBreakBefore w:val="0"/>
        <w:widowControl/>
        <w:kinsoku/>
        <w:wordWrap/>
        <w:overflowPunct/>
        <w:topLinePunct w:val="0"/>
        <w:autoSpaceDE/>
        <w:autoSpaceDN/>
        <w:bidi w:val="0"/>
        <w:snapToGrid w:val="0"/>
        <w:spacing w:line="360" w:lineRule="auto"/>
        <w:textAlignment w:val="auto"/>
        <w:rPr>
          <w:rFonts w:hint="eastAsia" w:hAnsi="宋体" w:cs="宋体"/>
          <w:b/>
          <w:bCs/>
          <w:color w:val="auto"/>
          <w:sz w:val="21"/>
          <w:szCs w:val="21"/>
          <w:highlight w:val="none"/>
          <w:lang w:val="en-US" w:eastAsia="zh-CN"/>
        </w:rPr>
      </w:pPr>
      <w:r>
        <w:rPr>
          <w:rFonts w:hint="eastAsia" w:hAnsi="宋体" w:cs="宋体"/>
          <w:b/>
          <w:bCs/>
          <w:color w:val="auto"/>
          <w:sz w:val="21"/>
          <w:szCs w:val="21"/>
          <w:highlight w:val="none"/>
          <w:lang w:val="en-US" w:eastAsia="zh-CN"/>
        </w:rPr>
        <w:t>九、付款方式</w:t>
      </w:r>
    </w:p>
    <w:p w14:paraId="5253AE59">
      <w:pPr>
        <w:keepNext w:val="0"/>
        <w:keepLines w:val="0"/>
        <w:pageBreakBefore w:val="0"/>
        <w:widowControl/>
        <w:kinsoku/>
        <w:wordWrap/>
        <w:overflowPunct/>
        <w:topLinePunct w:val="0"/>
        <w:autoSpaceDE/>
        <w:autoSpaceDN/>
        <w:bidi w:val="0"/>
        <w:snapToGrid w:val="0"/>
        <w:spacing w:line="360" w:lineRule="auto"/>
        <w:ind w:firstLine="404" w:firstLineChars="200"/>
        <w:textAlignment w:val="auto"/>
        <w:rPr>
          <w:rFonts w:hint="eastAsia" w:ascii="宋体" w:hAnsi="宋体" w:eastAsia="宋体" w:cs="宋体"/>
          <w:color w:val="auto"/>
          <w:spacing w:val="-4"/>
          <w:sz w:val="21"/>
          <w:szCs w:val="21"/>
          <w:highlight w:val="none"/>
          <w:lang w:val="en-US" w:eastAsia="zh-CN"/>
        </w:rPr>
      </w:pPr>
      <w:r>
        <w:rPr>
          <w:rFonts w:hint="eastAsia" w:ascii="宋体" w:hAnsi="宋体" w:eastAsia="宋体" w:cs="宋体"/>
          <w:color w:val="auto"/>
          <w:spacing w:val="-4"/>
          <w:sz w:val="21"/>
          <w:szCs w:val="21"/>
          <w:highlight w:val="none"/>
          <w:lang w:val="en-US" w:eastAsia="zh-CN"/>
        </w:rPr>
        <w:t>（1）</w:t>
      </w:r>
      <w:r>
        <w:rPr>
          <w:rFonts w:hint="eastAsia" w:ascii="宋体" w:hAnsi="宋体" w:eastAsia="宋体" w:cs="宋体"/>
          <w:color w:val="auto"/>
          <w:spacing w:val="-4"/>
          <w:sz w:val="21"/>
          <w:szCs w:val="21"/>
          <w:highlight w:val="none"/>
          <w:u w:val="none"/>
          <w:lang w:val="en-US" w:eastAsia="zh-CN"/>
        </w:rPr>
        <w:t>付款进度款双方签订合同时约定的为准</w:t>
      </w:r>
      <w:r>
        <w:rPr>
          <w:rFonts w:hint="eastAsia" w:ascii="宋体" w:hAnsi="宋体" w:eastAsia="宋体" w:cs="宋体"/>
          <w:color w:val="auto"/>
          <w:spacing w:val="-4"/>
          <w:sz w:val="21"/>
          <w:szCs w:val="21"/>
          <w:highlight w:val="none"/>
          <w:lang w:val="en-US" w:eastAsia="zh-CN"/>
        </w:rPr>
        <w:t>。</w:t>
      </w:r>
    </w:p>
    <w:p w14:paraId="6AAD70AA">
      <w:pPr>
        <w:keepNext w:val="0"/>
        <w:keepLines w:val="0"/>
        <w:pageBreakBefore w:val="0"/>
        <w:widowControl/>
        <w:kinsoku/>
        <w:wordWrap/>
        <w:overflowPunct/>
        <w:topLinePunct w:val="0"/>
        <w:autoSpaceDE/>
        <w:autoSpaceDN/>
        <w:bidi w:val="0"/>
        <w:snapToGrid w:val="0"/>
        <w:spacing w:line="360" w:lineRule="auto"/>
        <w:ind w:firstLine="404" w:firstLineChars="200"/>
        <w:textAlignment w:val="auto"/>
        <w:rPr>
          <w:rFonts w:hint="eastAsia" w:ascii="宋体" w:hAnsi="宋体" w:eastAsia="宋体" w:cs="宋体"/>
          <w:color w:val="auto"/>
          <w:spacing w:val="-4"/>
          <w:sz w:val="21"/>
          <w:szCs w:val="21"/>
          <w:highlight w:val="none"/>
          <w:lang w:val="en-US" w:eastAsia="zh-CN"/>
        </w:rPr>
      </w:pPr>
      <w:r>
        <w:rPr>
          <w:rFonts w:hint="eastAsia" w:ascii="宋体" w:hAnsi="宋体" w:eastAsia="宋体" w:cs="宋体"/>
          <w:color w:val="auto"/>
          <w:spacing w:val="-4"/>
          <w:sz w:val="21"/>
          <w:szCs w:val="21"/>
          <w:highlight w:val="none"/>
          <w:lang w:val="en-US" w:eastAsia="zh-CN"/>
        </w:rPr>
        <w:t>（2）项目完成验收并交付使用相关手续后，30天日内向乙方支付至合同总金额的9</w:t>
      </w:r>
      <w:r>
        <w:rPr>
          <w:rFonts w:hint="eastAsia" w:hAnsi="宋体" w:eastAsia="宋体" w:cs="宋体"/>
          <w:color w:val="auto"/>
          <w:spacing w:val="-4"/>
          <w:sz w:val="21"/>
          <w:szCs w:val="21"/>
          <w:highlight w:val="none"/>
          <w:lang w:val="en-US" w:eastAsia="zh-CN"/>
        </w:rPr>
        <w:t>5</w:t>
      </w:r>
      <w:r>
        <w:rPr>
          <w:rFonts w:hint="eastAsia" w:ascii="宋体" w:hAnsi="宋体" w:eastAsia="宋体" w:cs="宋体"/>
          <w:color w:val="auto"/>
          <w:spacing w:val="-4"/>
          <w:sz w:val="21"/>
          <w:szCs w:val="21"/>
          <w:highlight w:val="none"/>
          <w:lang w:val="en-US" w:eastAsia="zh-CN"/>
        </w:rPr>
        <w:t>%，剩下合同总金额的</w:t>
      </w:r>
      <w:r>
        <w:rPr>
          <w:rFonts w:hint="eastAsia" w:hAnsi="宋体" w:eastAsia="宋体" w:cs="宋体"/>
          <w:color w:val="auto"/>
          <w:spacing w:val="-4"/>
          <w:sz w:val="21"/>
          <w:szCs w:val="21"/>
          <w:highlight w:val="none"/>
          <w:lang w:val="en-US" w:eastAsia="zh-CN"/>
        </w:rPr>
        <w:t>5</w:t>
      </w:r>
      <w:r>
        <w:rPr>
          <w:rFonts w:hint="eastAsia" w:ascii="宋体" w:hAnsi="宋体" w:eastAsia="宋体" w:cs="宋体"/>
          <w:color w:val="auto"/>
          <w:spacing w:val="-4"/>
          <w:sz w:val="21"/>
          <w:szCs w:val="21"/>
          <w:highlight w:val="none"/>
          <w:lang w:val="en-US" w:eastAsia="zh-CN"/>
        </w:rPr>
        <w:t>%作为质量保证金，质量保证期满后无息支付。</w:t>
      </w:r>
    </w:p>
    <w:p w14:paraId="0893022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lang w:val="en-US" w:eastAsia="zh-CN"/>
        </w:rPr>
        <w:t>（3）每笔款项支付时，甲方同时向乙方提供相应金额的正式发票。</w:t>
      </w:r>
    </w:p>
    <w:p w14:paraId="7F1296B0">
      <w:pPr>
        <w:snapToGrid w:val="0"/>
        <w:spacing w:line="360" w:lineRule="auto"/>
        <w:jc w:val="left"/>
        <w:rPr>
          <w:rFonts w:hint="eastAsia" w:hAnsi="宋体" w:cs="宋体"/>
          <w:b/>
          <w:color w:val="auto"/>
          <w:sz w:val="21"/>
          <w:szCs w:val="21"/>
          <w:highlight w:val="none"/>
        </w:rPr>
      </w:pPr>
      <w:r>
        <w:rPr>
          <w:rFonts w:hint="eastAsia" w:hAnsi="宋体" w:cs="宋体"/>
          <w:b/>
          <w:color w:val="auto"/>
          <w:sz w:val="21"/>
          <w:szCs w:val="21"/>
          <w:highlight w:val="none"/>
          <w:lang w:val="en-US" w:eastAsia="zh-CN"/>
        </w:rPr>
        <w:t>十</w:t>
      </w:r>
      <w:r>
        <w:rPr>
          <w:rFonts w:hint="eastAsia" w:hAnsi="宋体" w:cs="宋体"/>
          <w:b/>
          <w:color w:val="auto"/>
          <w:sz w:val="21"/>
          <w:szCs w:val="21"/>
          <w:highlight w:val="none"/>
        </w:rPr>
        <w:t>、争端的解决</w:t>
      </w:r>
    </w:p>
    <w:p w14:paraId="362D2106">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1．凡与本合同有关而引起的一切争议，合同双方应首先通过友好协商解决，如经协商后仍不能达成协议时，任何一方可以向地方人民法院提请诉讼。</w:t>
      </w:r>
    </w:p>
    <w:p w14:paraId="1F2E523A">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2．在进行诉讼期间，除提交诉讼事项外，合同其他部分仍应当继续履行。</w:t>
      </w:r>
    </w:p>
    <w:p w14:paraId="768E21DB">
      <w:pPr>
        <w:snapToGrid w:val="0"/>
        <w:spacing w:line="360" w:lineRule="auto"/>
        <w:ind w:firstLine="420" w:firstLineChars="200"/>
        <w:rPr>
          <w:rFonts w:hint="eastAsia" w:hAnsi="宋体" w:cs="宋体"/>
          <w:b/>
          <w:color w:val="auto"/>
          <w:sz w:val="21"/>
          <w:szCs w:val="21"/>
          <w:highlight w:val="none"/>
        </w:rPr>
      </w:pPr>
      <w:r>
        <w:rPr>
          <w:rFonts w:hint="eastAsia" w:hAnsi="宋体" w:cs="宋体"/>
          <w:color w:val="auto"/>
          <w:sz w:val="21"/>
          <w:szCs w:val="21"/>
          <w:highlight w:val="none"/>
        </w:rPr>
        <w:t>3．本合同按照中华人民共和国法律进行解释。</w:t>
      </w:r>
    </w:p>
    <w:p w14:paraId="70D80CBB">
      <w:pPr>
        <w:snapToGrid w:val="0"/>
        <w:spacing w:line="360" w:lineRule="auto"/>
        <w:jc w:val="left"/>
        <w:rPr>
          <w:rFonts w:hint="eastAsia" w:hAnsi="宋体" w:cs="宋体"/>
          <w:b/>
          <w:color w:val="auto"/>
          <w:sz w:val="21"/>
          <w:szCs w:val="21"/>
          <w:highlight w:val="none"/>
        </w:rPr>
      </w:pPr>
      <w:r>
        <w:rPr>
          <w:rFonts w:hint="eastAsia" w:hAnsi="宋体" w:cs="宋体"/>
          <w:b/>
          <w:color w:val="auto"/>
          <w:sz w:val="21"/>
          <w:szCs w:val="21"/>
          <w:highlight w:val="none"/>
          <w:lang w:val="en-US" w:eastAsia="zh-CN"/>
        </w:rPr>
        <w:t>十一</w:t>
      </w:r>
      <w:r>
        <w:rPr>
          <w:rFonts w:hint="eastAsia" w:hAnsi="宋体" w:cs="宋体"/>
          <w:b/>
          <w:color w:val="auto"/>
          <w:sz w:val="21"/>
          <w:szCs w:val="21"/>
          <w:highlight w:val="none"/>
        </w:rPr>
        <w:t>、合同生效</w:t>
      </w:r>
    </w:p>
    <w:p w14:paraId="334781CC">
      <w:pPr>
        <w:snapToGrid w:val="0"/>
        <w:spacing w:line="360" w:lineRule="auto"/>
        <w:ind w:firstLine="420" w:firstLineChars="200"/>
        <w:rPr>
          <w:rFonts w:hint="eastAsia" w:hAnsi="宋体" w:cs="宋体"/>
          <w:b/>
          <w:color w:val="auto"/>
          <w:sz w:val="21"/>
          <w:szCs w:val="21"/>
          <w:highlight w:val="none"/>
        </w:rPr>
      </w:pPr>
      <w:r>
        <w:rPr>
          <w:rFonts w:hint="eastAsia" w:hAnsi="宋体" w:cs="宋体"/>
          <w:color w:val="auto"/>
          <w:sz w:val="21"/>
          <w:szCs w:val="21"/>
          <w:highlight w:val="none"/>
        </w:rPr>
        <w:t>本合同经甲、乙双方授权代表签字盖章后生效，生效日期以最后一个签字日期为准。</w:t>
      </w:r>
    </w:p>
    <w:p w14:paraId="14EFB245">
      <w:pPr>
        <w:snapToGrid w:val="0"/>
        <w:spacing w:line="360" w:lineRule="auto"/>
        <w:jc w:val="left"/>
        <w:rPr>
          <w:rFonts w:hint="eastAsia" w:hAnsi="宋体" w:cs="宋体"/>
          <w:b/>
          <w:color w:val="auto"/>
          <w:sz w:val="21"/>
          <w:szCs w:val="21"/>
          <w:highlight w:val="none"/>
        </w:rPr>
      </w:pPr>
      <w:r>
        <w:rPr>
          <w:rFonts w:hint="eastAsia" w:hAnsi="宋体" w:cs="宋体"/>
          <w:b/>
          <w:color w:val="auto"/>
          <w:sz w:val="21"/>
          <w:szCs w:val="21"/>
          <w:highlight w:val="none"/>
          <w:lang w:val="en-US" w:eastAsia="zh-CN"/>
        </w:rPr>
        <w:t>十二</w:t>
      </w:r>
      <w:r>
        <w:rPr>
          <w:rFonts w:hint="eastAsia" w:hAnsi="宋体" w:cs="宋体"/>
          <w:b/>
          <w:color w:val="auto"/>
          <w:sz w:val="21"/>
          <w:szCs w:val="21"/>
          <w:highlight w:val="none"/>
        </w:rPr>
        <w:t>、附则</w:t>
      </w:r>
    </w:p>
    <w:p w14:paraId="484CECB6">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1．在执行合同过程中，所有经甲、乙双方签署确认的文件（包括会议纪要、补充协议、往来信函）即成为本合同的有效组成部分，其生效日期为双方签字盖章确认的日期。</w:t>
      </w:r>
    </w:p>
    <w:p w14:paraId="4E91FC92">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2．除甲方事先书面同意外，乙方不得部分或全部转让其应履行的合同项下的义务，否则由此产生的法律责任由乙方承担。乙方在运输、安装、调试等过程中，应配备具有相应技术资质的专业人员，并负责提供安全保障措施。</w:t>
      </w:r>
      <w:r>
        <w:rPr>
          <w:rFonts w:hint="eastAsia" w:hAnsi="宋体" w:cs="宋体"/>
          <w:color w:val="auto"/>
          <w:sz w:val="21"/>
          <w:szCs w:val="21"/>
          <w:highlight w:val="none"/>
          <w:lang w:eastAsia="zh-CN"/>
        </w:rPr>
        <w:t>其中施工期间出现任何情况都由乙方承担。</w:t>
      </w:r>
    </w:p>
    <w:p w14:paraId="0E1127E5">
      <w:pPr>
        <w:snapToGrid w:val="0"/>
        <w:spacing w:line="360" w:lineRule="auto"/>
        <w:ind w:firstLine="420" w:firstLineChars="200"/>
        <w:rPr>
          <w:rStyle w:val="209"/>
          <w:rFonts w:hint="eastAsia" w:hAnsi="宋体" w:cs="宋体"/>
          <w:bCs/>
          <w:color w:val="auto"/>
          <w:sz w:val="21"/>
          <w:szCs w:val="21"/>
          <w:highlight w:val="none"/>
        </w:rPr>
      </w:pPr>
      <w:r>
        <w:rPr>
          <w:rStyle w:val="209"/>
          <w:rFonts w:hint="eastAsia" w:hAnsi="宋体" w:cs="宋体"/>
          <w:bCs/>
          <w:color w:val="auto"/>
          <w:sz w:val="21"/>
          <w:szCs w:val="21"/>
          <w:highlight w:val="none"/>
        </w:rPr>
        <w:t>3．本合同未尽事宜，双方应本着友好合作的原则，另行商议并写入补充条款。所有修改或补充条款都视为本合同的组成部分，具有与其它条款同等的法律效力。</w:t>
      </w:r>
    </w:p>
    <w:p w14:paraId="061A6508">
      <w:pPr>
        <w:snapToGrid w:val="0"/>
        <w:spacing w:line="360" w:lineRule="auto"/>
        <w:ind w:firstLine="420" w:firstLineChars="200"/>
        <w:rPr>
          <w:rFonts w:hint="eastAsia" w:hAnsi="宋体" w:cs="宋体"/>
          <w:color w:val="auto"/>
          <w:sz w:val="21"/>
          <w:szCs w:val="21"/>
          <w:highlight w:val="none"/>
          <w:lang w:val="en-US"/>
        </w:rPr>
      </w:pPr>
      <w:r>
        <w:rPr>
          <w:rStyle w:val="209"/>
          <w:rFonts w:hint="eastAsia" w:hAnsi="宋体" w:cs="宋体"/>
          <w:bCs/>
          <w:color w:val="auto"/>
          <w:sz w:val="21"/>
          <w:szCs w:val="21"/>
          <w:highlight w:val="none"/>
        </w:rPr>
        <w:t>4．本合同自双方签字盖章之日起生效，一式</w:t>
      </w:r>
      <w:r>
        <w:rPr>
          <w:rStyle w:val="209"/>
          <w:rFonts w:hint="eastAsia" w:hAnsi="宋体" w:cs="宋体"/>
          <w:bCs/>
          <w:color w:val="auto"/>
          <w:sz w:val="21"/>
          <w:szCs w:val="21"/>
          <w:highlight w:val="none"/>
          <w:u w:val="single"/>
        </w:rPr>
        <w:t xml:space="preserve"> </w:t>
      </w:r>
      <w:r>
        <w:rPr>
          <w:rStyle w:val="209"/>
          <w:rFonts w:hint="eastAsia" w:hAnsi="宋体" w:cs="宋体"/>
          <w:bCs/>
          <w:color w:val="auto"/>
          <w:sz w:val="21"/>
          <w:szCs w:val="21"/>
          <w:highlight w:val="none"/>
          <w:u w:val="single"/>
          <w:lang w:val="en-US" w:eastAsia="zh-CN"/>
        </w:rPr>
        <w:t xml:space="preserve"> </w:t>
      </w:r>
      <w:r>
        <w:rPr>
          <w:rStyle w:val="209"/>
          <w:rFonts w:hint="eastAsia" w:hAnsi="宋体" w:cs="宋体"/>
          <w:bCs/>
          <w:color w:val="auto"/>
          <w:sz w:val="21"/>
          <w:szCs w:val="21"/>
          <w:highlight w:val="none"/>
          <w:u w:val="single"/>
        </w:rPr>
        <w:t xml:space="preserve"> </w:t>
      </w:r>
      <w:r>
        <w:rPr>
          <w:rStyle w:val="209"/>
          <w:rFonts w:hint="eastAsia" w:hAnsi="宋体" w:cs="宋体"/>
          <w:bCs/>
          <w:color w:val="auto"/>
          <w:sz w:val="21"/>
          <w:szCs w:val="21"/>
          <w:highlight w:val="none"/>
        </w:rPr>
        <w:t>份，甲、乙双方各执</w:t>
      </w:r>
      <w:r>
        <w:rPr>
          <w:rStyle w:val="209"/>
          <w:rFonts w:hint="eastAsia" w:hAnsi="宋体" w:cs="宋体"/>
          <w:bCs/>
          <w:color w:val="auto"/>
          <w:sz w:val="21"/>
          <w:szCs w:val="21"/>
          <w:highlight w:val="none"/>
          <w:u w:val="single"/>
        </w:rPr>
        <w:t xml:space="preserve"> </w:t>
      </w:r>
      <w:r>
        <w:rPr>
          <w:rStyle w:val="209"/>
          <w:rFonts w:hint="eastAsia" w:hAnsi="宋体" w:cs="宋体"/>
          <w:bCs/>
          <w:color w:val="auto"/>
          <w:sz w:val="21"/>
          <w:szCs w:val="21"/>
          <w:highlight w:val="none"/>
          <w:u w:val="single"/>
          <w:lang w:val="en-US" w:eastAsia="zh-CN"/>
        </w:rPr>
        <w:t xml:space="preserve"> </w:t>
      </w:r>
      <w:r>
        <w:rPr>
          <w:rStyle w:val="209"/>
          <w:rFonts w:hint="eastAsia" w:hAnsi="宋体" w:cs="宋体"/>
          <w:bCs/>
          <w:color w:val="auto"/>
          <w:sz w:val="21"/>
          <w:szCs w:val="21"/>
          <w:highlight w:val="none"/>
          <w:u w:val="single"/>
        </w:rPr>
        <w:t xml:space="preserve"> </w:t>
      </w:r>
      <w:r>
        <w:rPr>
          <w:rStyle w:val="209"/>
          <w:rFonts w:hint="eastAsia" w:hAnsi="宋体" w:cs="宋体"/>
          <w:bCs/>
          <w:color w:val="auto"/>
          <w:sz w:val="21"/>
          <w:szCs w:val="21"/>
          <w:highlight w:val="none"/>
        </w:rPr>
        <w:t>份</w:t>
      </w:r>
      <w:r>
        <w:rPr>
          <w:rFonts w:hint="eastAsia" w:hAnsi="宋体" w:cs="宋体"/>
          <w:color w:val="auto"/>
          <w:sz w:val="21"/>
          <w:szCs w:val="21"/>
          <w:highlight w:val="none"/>
        </w:rPr>
        <w:t>，</w:t>
      </w:r>
      <w:r>
        <w:rPr>
          <w:rStyle w:val="209"/>
          <w:rFonts w:hint="eastAsia" w:hAnsi="宋体" w:cs="宋体"/>
          <w:bCs/>
          <w:color w:val="auto"/>
          <w:sz w:val="21"/>
          <w:szCs w:val="21"/>
          <w:highlight w:val="none"/>
        </w:rPr>
        <w:t>招标代理机构</w:t>
      </w:r>
      <w:r>
        <w:rPr>
          <w:rStyle w:val="209"/>
          <w:rFonts w:hint="eastAsia" w:hAnsi="宋体" w:cs="宋体"/>
          <w:bCs/>
          <w:color w:val="auto"/>
          <w:sz w:val="21"/>
          <w:szCs w:val="21"/>
          <w:highlight w:val="none"/>
          <w:u w:val="single"/>
        </w:rPr>
        <w:t xml:space="preserve"> </w:t>
      </w:r>
      <w:r>
        <w:rPr>
          <w:rStyle w:val="209"/>
          <w:rFonts w:hint="eastAsia" w:hAnsi="宋体" w:cs="宋体"/>
          <w:bCs/>
          <w:color w:val="auto"/>
          <w:sz w:val="21"/>
          <w:szCs w:val="21"/>
          <w:highlight w:val="none"/>
          <w:u w:val="single"/>
          <w:lang w:eastAsia="zh-CN"/>
        </w:rPr>
        <w:t>壹</w:t>
      </w:r>
      <w:r>
        <w:rPr>
          <w:rStyle w:val="209"/>
          <w:rFonts w:hint="eastAsia" w:hAnsi="宋体" w:cs="宋体"/>
          <w:bCs/>
          <w:color w:val="auto"/>
          <w:sz w:val="21"/>
          <w:szCs w:val="21"/>
          <w:highlight w:val="none"/>
          <w:u w:val="single"/>
        </w:rPr>
        <w:t xml:space="preserve"> </w:t>
      </w:r>
      <w:r>
        <w:rPr>
          <w:rStyle w:val="209"/>
          <w:rFonts w:hint="eastAsia" w:hAnsi="宋体" w:cs="宋体"/>
          <w:bCs/>
          <w:color w:val="auto"/>
          <w:sz w:val="21"/>
          <w:szCs w:val="21"/>
          <w:highlight w:val="none"/>
        </w:rPr>
        <w:t>份。</w:t>
      </w:r>
    </w:p>
    <w:tbl>
      <w:tblPr>
        <w:tblStyle w:val="41"/>
        <w:tblW w:w="0" w:type="auto"/>
        <w:jc w:val="center"/>
        <w:tblLayout w:type="fixed"/>
        <w:tblCellMar>
          <w:top w:w="113" w:type="dxa"/>
          <w:left w:w="108" w:type="dxa"/>
          <w:bottom w:w="0" w:type="dxa"/>
          <w:right w:w="108" w:type="dxa"/>
        </w:tblCellMar>
      </w:tblPr>
      <w:tblGrid>
        <w:gridCol w:w="1390"/>
        <w:gridCol w:w="3146"/>
        <w:gridCol w:w="1390"/>
        <w:gridCol w:w="3146"/>
      </w:tblGrid>
      <w:tr w14:paraId="44B072FD">
        <w:tblPrEx>
          <w:tblCellMar>
            <w:top w:w="113" w:type="dxa"/>
            <w:left w:w="108" w:type="dxa"/>
            <w:bottom w:w="0" w:type="dxa"/>
            <w:right w:w="108" w:type="dxa"/>
          </w:tblCellMar>
        </w:tblPrEx>
        <w:trPr>
          <w:trHeight w:val="567" w:hRule="atLeast"/>
          <w:jc w:val="center"/>
        </w:trPr>
        <w:tc>
          <w:tcPr>
            <w:tcW w:w="1390" w:type="dxa"/>
            <w:noWrap w:val="0"/>
            <w:vAlign w:val="top"/>
          </w:tcPr>
          <w:p w14:paraId="022736E3">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甲方：</w:t>
            </w:r>
          </w:p>
        </w:tc>
        <w:tc>
          <w:tcPr>
            <w:tcW w:w="3146" w:type="dxa"/>
            <w:noWrap w:val="0"/>
            <w:vAlign w:val="top"/>
          </w:tcPr>
          <w:p w14:paraId="703B20CA">
            <w:pPr>
              <w:pStyle w:val="155"/>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（盖章）</w:t>
            </w:r>
          </w:p>
        </w:tc>
        <w:tc>
          <w:tcPr>
            <w:tcW w:w="1390" w:type="dxa"/>
            <w:noWrap w:val="0"/>
            <w:vAlign w:val="top"/>
          </w:tcPr>
          <w:p w14:paraId="0AC443F3">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乙方：</w:t>
            </w:r>
          </w:p>
        </w:tc>
        <w:tc>
          <w:tcPr>
            <w:tcW w:w="3146" w:type="dxa"/>
            <w:noWrap w:val="0"/>
            <w:vAlign w:val="top"/>
          </w:tcPr>
          <w:p w14:paraId="272E4399">
            <w:pPr>
              <w:pStyle w:val="155"/>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（盖章）</w:t>
            </w:r>
          </w:p>
        </w:tc>
      </w:tr>
      <w:tr w14:paraId="7FA72554">
        <w:tblPrEx>
          <w:tblCellMar>
            <w:top w:w="113" w:type="dxa"/>
            <w:left w:w="108" w:type="dxa"/>
            <w:bottom w:w="0" w:type="dxa"/>
            <w:right w:w="108" w:type="dxa"/>
          </w:tblCellMar>
        </w:tblPrEx>
        <w:trPr>
          <w:trHeight w:val="567" w:hRule="atLeast"/>
          <w:jc w:val="center"/>
        </w:trPr>
        <w:tc>
          <w:tcPr>
            <w:tcW w:w="1390" w:type="dxa"/>
            <w:noWrap w:val="0"/>
            <w:vAlign w:val="top"/>
          </w:tcPr>
          <w:p w14:paraId="2C58880B">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签约代表：</w:t>
            </w:r>
          </w:p>
        </w:tc>
        <w:tc>
          <w:tcPr>
            <w:tcW w:w="3146" w:type="dxa"/>
            <w:noWrap w:val="0"/>
            <w:vAlign w:val="top"/>
          </w:tcPr>
          <w:p w14:paraId="5A215A09">
            <w:pPr>
              <w:pStyle w:val="155"/>
              <w:spacing w:line="360" w:lineRule="auto"/>
              <w:rPr>
                <w:rFonts w:hint="eastAsia" w:ascii="宋体" w:hAnsi="宋体" w:cs="宋体"/>
                <w:color w:val="auto"/>
                <w:szCs w:val="21"/>
                <w:highlight w:val="none"/>
              </w:rPr>
            </w:pPr>
          </w:p>
        </w:tc>
        <w:tc>
          <w:tcPr>
            <w:tcW w:w="1390" w:type="dxa"/>
            <w:noWrap w:val="0"/>
            <w:vAlign w:val="top"/>
          </w:tcPr>
          <w:p w14:paraId="7811CB11">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签约代表：</w:t>
            </w:r>
          </w:p>
        </w:tc>
        <w:tc>
          <w:tcPr>
            <w:tcW w:w="3146" w:type="dxa"/>
            <w:noWrap w:val="0"/>
            <w:vAlign w:val="top"/>
          </w:tcPr>
          <w:p w14:paraId="20B1E094">
            <w:pPr>
              <w:pStyle w:val="155"/>
              <w:spacing w:line="360" w:lineRule="auto"/>
              <w:rPr>
                <w:rFonts w:hint="eastAsia" w:ascii="宋体" w:hAnsi="宋体" w:cs="宋体"/>
                <w:color w:val="auto"/>
                <w:szCs w:val="21"/>
                <w:highlight w:val="none"/>
              </w:rPr>
            </w:pPr>
          </w:p>
        </w:tc>
      </w:tr>
      <w:tr w14:paraId="3AF3CE03">
        <w:tblPrEx>
          <w:tblCellMar>
            <w:top w:w="113" w:type="dxa"/>
            <w:left w:w="108" w:type="dxa"/>
            <w:bottom w:w="0" w:type="dxa"/>
            <w:right w:w="108" w:type="dxa"/>
          </w:tblCellMar>
        </w:tblPrEx>
        <w:trPr>
          <w:trHeight w:val="567" w:hRule="atLeast"/>
          <w:jc w:val="center"/>
        </w:trPr>
        <w:tc>
          <w:tcPr>
            <w:tcW w:w="1390" w:type="dxa"/>
            <w:noWrap w:val="0"/>
            <w:vAlign w:val="top"/>
          </w:tcPr>
          <w:p w14:paraId="28730238">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地    址：</w:t>
            </w:r>
          </w:p>
        </w:tc>
        <w:tc>
          <w:tcPr>
            <w:tcW w:w="3146" w:type="dxa"/>
            <w:noWrap w:val="0"/>
            <w:vAlign w:val="top"/>
          </w:tcPr>
          <w:p w14:paraId="7004F7F9">
            <w:pPr>
              <w:pStyle w:val="155"/>
              <w:spacing w:line="360" w:lineRule="auto"/>
              <w:rPr>
                <w:rFonts w:hint="eastAsia" w:ascii="宋体" w:hAnsi="宋体" w:cs="宋体"/>
                <w:color w:val="auto"/>
                <w:szCs w:val="21"/>
                <w:highlight w:val="none"/>
              </w:rPr>
            </w:pPr>
          </w:p>
        </w:tc>
        <w:tc>
          <w:tcPr>
            <w:tcW w:w="1390" w:type="dxa"/>
            <w:noWrap w:val="0"/>
            <w:vAlign w:val="top"/>
          </w:tcPr>
          <w:p w14:paraId="40B959F4">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地    址：</w:t>
            </w:r>
          </w:p>
        </w:tc>
        <w:tc>
          <w:tcPr>
            <w:tcW w:w="3146" w:type="dxa"/>
            <w:noWrap w:val="0"/>
            <w:vAlign w:val="top"/>
          </w:tcPr>
          <w:p w14:paraId="28F76922">
            <w:pPr>
              <w:pStyle w:val="155"/>
              <w:spacing w:line="360" w:lineRule="auto"/>
              <w:rPr>
                <w:rFonts w:hint="eastAsia" w:ascii="宋体" w:hAnsi="宋体" w:cs="宋体"/>
                <w:color w:val="auto"/>
                <w:szCs w:val="21"/>
                <w:highlight w:val="none"/>
              </w:rPr>
            </w:pPr>
          </w:p>
        </w:tc>
      </w:tr>
      <w:tr w14:paraId="2637F251">
        <w:tblPrEx>
          <w:tblCellMar>
            <w:top w:w="113" w:type="dxa"/>
            <w:left w:w="108" w:type="dxa"/>
            <w:bottom w:w="0" w:type="dxa"/>
            <w:right w:w="108" w:type="dxa"/>
          </w:tblCellMar>
        </w:tblPrEx>
        <w:trPr>
          <w:trHeight w:val="567" w:hRule="atLeast"/>
          <w:jc w:val="center"/>
        </w:trPr>
        <w:tc>
          <w:tcPr>
            <w:tcW w:w="1390" w:type="dxa"/>
            <w:noWrap w:val="0"/>
            <w:vAlign w:val="top"/>
          </w:tcPr>
          <w:p w14:paraId="366AF8D8">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电    话：</w:t>
            </w:r>
          </w:p>
        </w:tc>
        <w:tc>
          <w:tcPr>
            <w:tcW w:w="3146" w:type="dxa"/>
            <w:noWrap w:val="0"/>
            <w:vAlign w:val="top"/>
          </w:tcPr>
          <w:p w14:paraId="47AD5290">
            <w:pPr>
              <w:pStyle w:val="155"/>
              <w:spacing w:line="360" w:lineRule="auto"/>
              <w:rPr>
                <w:rFonts w:hint="eastAsia" w:ascii="宋体" w:hAnsi="宋体" w:cs="宋体"/>
                <w:color w:val="auto"/>
                <w:szCs w:val="21"/>
                <w:highlight w:val="none"/>
              </w:rPr>
            </w:pPr>
          </w:p>
        </w:tc>
        <w:tc>
          <w:tcPr>
            <w:tcW w:w="1390" w:type="dxa"/>
            <w:noWrap w:val="0"/>
            <w:vAlign w:val="top"/>
          </w:tcPr>
          <w:p w14:paraId="787E98F8">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电    话：</w:t>
            </w:r>
          </w:p>
        </w:tc>
        <w:tc>
          <w:tcPr>
            <w:tcW w:w="3146" w:type="dxa"/>
            <w:noWrap w:val="0"/>
            <w:vAlign w:val="top"/>
          </w:tcPr>
          <w:p w14:paraId="7A4A6A63">
            <w:pPr>
              <w:pStyle w:val="155"/>
              <w:spacing w:line="360" w:lineRule="auto"/>
              <w:rPr>
                <w:rFonts w:hint="eastAsia" w:ascii="宋体" w:hAnsi="宋体" w:cs="宋体"/>
                <w:color w:val="auto"/>
                <w:szCs w:val="21"/>
                <w:highlight w:val="none"/>
              </w:rPr>
            </w:pPr>
          </w:p>
        </w:tc>
      </w:tr>
      <w:tr w14:paraId="1227BD3E">
        <w:tblPrEx>
          <w:tblCellMar>
            <w:top w:w="113" w:type="dxa"/>
            <w:left w:w="108" w:type="dxa"/>
            <w:bottom w:w="0" w:type="dxa"/>
            <w:right w:w="108" w:type="dxa"/>
          </w:tblCellMar>
        </w:tblPrEx>
        <w:trPr>
          <w:trHeight w:val="90" w:hRule="atLeast"/>
          <w:jc w:val="center"/>
        </w:trPr>
        <w:tc>
          <w:tcPr>
            <w:tcW w:w="1390" w:type="dxa"/>
            <w:noWrap w:val="0"/>
            <w:vAlign w:val="top"/>
          </w:tcPr>
          <w:p w14:paraId="09245591">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传    真：</w:t>
            </w:r>
          </w:p>
        </w:tc>
        <w:tc>
          <w:tcPr>
            <w:tcW w:w="3146" w:type="dxa"/>
            <w:noWrap w:val="0"/>
            <w:vAlign w:val="top"/>
          </w:tcPr>
          <w:p w14:paraId="20FE286A">
            <w:pPr>
              <w:pStyle w:val="155"/>
              <w:spacing w:line="360" w:lineRule="auto"/>
              <w:rPr>
                <w:rFonts w:hint="eastAsia" w:ascii="宋体" w:hAnsi="宋体" w:cs="宋体"/>
                <w:color w:val="auto"/>
                <w:szCs w:val="21"/>
                <w:highlight w:val="none"/>
              </w:rPr>
            </w:pPr>
          </w:p>
        </w:tc>
        <w:tc>
          <w:tcPr>
            <w:tcW w:w="1390" w:type="dxa"/>
            <w:noWrap w:val="0"/>
            <w:vAlign w:val="top"/>
          </w:tcPr>
          <w:p w14:paraId="1B417103">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传    真：</w:t>
            </w:r>
          </w:p>
        </w:tc>
        <w:tc>
          <w:tcPr>
            <w:tcW w:w="3146" w:type="dxa"/>
            <w:noWrap w:val="0"/>
            <w:vAlign w:val="top"/>
          </w:tcPr>
          <w:p w14:paraId="75264306">
            <w:pPr>
              <w:pStyle w:val="155"/>
              <w:spacing w:line="360" w:lineRule="auto"/>
              <w:rPr>
                <w:rFonts w:hint="eastAsia" w:ascii="宋体" w:hAnsi="宋体" w:cs="宋体"/>
                <w:color w:val="auto"/>
                <w:szCs w:val="21"/>
                <w:highlight w:val="none"/>
              </w:rPr>
            </w:pPr>
          </w:p>
        </w:tc>
      </w:tr>
      <w:tr w14:paraId="54993E26">
        <w:tblPrEx>
          <w:tblCellMar>
            <w:top w:w="113" w:type="dxa"/>
            <w:left w:w="108" w:type="dxa"/>
            <w:bottom w:w="0" w:type="dxa"/>
            <w:right w:w="108" w:type="dxa"/>
          </w:tblCellMar>
        </w:tblPrEx>
        <w:trPr>
          <w:trHeight w:val="495" w:hRule="atLeast"/>
          <w:jc w:val="center"/>
        </w:trPr>
        <w:tc>
          <w:tcPr>
            <w:tcW w:w="1390" w:type="dxa"/>
            <w:noWrap w:val="0"/>
            <w:vAlign w:val="top"/>
          </w:tcPr>
          <w:p w14:paraId="28E0D10A">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签约日期：</w:t>
            </w:r>
          </w:p>
        </w:tc>
        <w:tc>
          <w:tcPr>
            <w:tcW w:w="3146" w:type="dxa"/>
            <w:noWrap w:val="0"/>
            <w:vAlign w:val="top"/>
          </w:tcPr>
          <w:p w14:paraId="5DB98EFB">
            <w:pPr>
              <w:pStyle w:val="155"/>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c>
          <w:tcPr>
            <w:tcW w:w="1390" w:type="dxa"/>
            <w:noWrap w:val="0"/>
            <w:vAlign w:val="top"/>
          </w:tcPr>
          <w:p w14:paraId="02D02D11">
            <w:pPr>
              <w:pStyle w:val="155"/>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签约日期：</w:t>
            </w:r>
          </w:p>
        </w:tc>
        <w:tc>
          <w:tcPr>
            <w:tcW w:w="3146" w:type="dxa"/>
            <w:noWrap w:val="0"/>
            <w:vAlign w:val="top"/>
          </w:tcPr>
          <w:p w14:paraId="011AC3CE">
            <w:pPr>
              <w:pStyle w:val="155"/>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bookmarkEnd w:id="254"/>
    </w:tbl>
    <w:p w14:paraId="59DB339F">
      <w:pPr>
        <w:jc w:val="center"/>
        <w:outlineLvl w:val="0"/>
        <w:rPr>
          <w:rFonts w:hint="eastAsia" w:asciiTheme="minorEastAsia" w:hAnsiTheme="minorEastAsia" w:eastAsiaTheme="minorEastAsia"/>
          <w:b/>
          <w:color w:val="auto"/>
          <w:sz w:val="30"/>
          <w:szCs w:val="30"/>
          <w:highlight w:val="none"/>
        </w:rPr>
        <w:sectPr>
          <w:footerReference r:id="rId9" w:type="first"/>
          <w:headerReference r:id="rId7" w:type="default"/>
          <w:footerReference r:id="rId8" w:type="default"/>
          <w:pgSz w:w="11906" w:h="16838"/>
          <w:pgMar w:top="1418" w:right="1247" w:bottom="993" w:left="1247" w:header="851" w:footer="684" w:gutter="0"/>
          <w:cols w:space="720" w:num="1"/>
          <w:titlePg/>
          <w:docGrid w:type="lines" w:linePitch="312" w:charSpace="0"/>
        </w:sectPr>
      </w:pPr>
      <w:bookmarkStart w:id="255" w:name="_Toc6175"/>
    </w:p>
    <w:p w14:paraId="6B556AAA">
      <w:pPr>
        <w:jc w:val="center"/>
        <w:outlineLvl w:val="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30"/>
          <w:szCs w:val="30"/>
          <w:highlight w:val="none"/>
        </w:rPr>
        <w:t>第四章 开标、评标和定标</w:t>
      </w:r>
      <w:bookmarkEnd w:id="250"/>
      <w:bookmarkEnd w:id="251"/>
      <w:bookmarkEnd w:id="252"/>
      <w:bookmarkEnd w:id="253"/>
      <w:bookmarkEnd w:id="255"/>
    </w:p>
    <w:p w14:paraId="5F24FBC1">
      <w:pPr>
        <w:widowControl w:val="0"/>
        <w:numPr>
          <w:ilvl w:val="0"/>
          <w:numId w:val="14"/>
        </w:numPr>
        <w:spacing w:line="360" w:lineRule="auto"/>
        <w:ind w:left="567" w:hanging="27"/>
        <w:outlineLvl w:val="1"/>
        <w:rPr>
          <w:rFonts w:asciiTheme="minorEastAsia" w:hAnsiTheme="minorEastAsia" w:eastAsiaTheme="minorEastAsia"/>
          <w:b/>
          <w:bCs/>
          <w:color w:val="auto"/>
          <w:sz w:val="24"/>
          <w:szCs w:val="24"/>
          <w:highlight w:val="none"/>
        </w:rPr>
      </w:pPr>
      <w:bookmarkStart w:id="256" w:name="_Toc4337"/>
      <w:bookmarkStart w:id="257" w:name="_Toc16059"/>
      <w:bookmarkStart w:id="258" w:name="_Toc22295588"/>
      <w:bookmarkStart w:id="259" w:name="_Toc19690"/>
      <w:bookmarkStart w:id="260" w:name="_Toc9264"/>
      <w:bookmarkStart w:id="261" w:name="_Toc4067"/>
      <w:bookmarkStart w:id="262" w:name="_Toc42315985"/>
      <w:bookmarkStart w:id="263" w:name="_Toc42329464"/>
      <w:bookmarkStart w:id="264" w:name="_Toc98579007"/>
      <w:bookmarkStart w:id="265" w:name="_Toc41884701"/>
      <w:bookmarkStart w:id="266" w:name="_Toc42394668"/>
      <w:bookmarkStart w:id="267" w:name="_Toc41723931"/>
      <w:bookmarkStart w:id="268" w:name="_Toc42394669"/>
      <w:bookmarkStart w:id="269" w:name="_Toc42313167"/>
      <w:bookmarkStart w:id="270" w:name="_Toc101771374"/>
      <w:bookmarkStart w:id="271" w:name="_Toc50276153"/>
      <w:bookmarkStart w:id="272" w:name="_Toc98580289"/>
      <w:bookmarkStart w:id="273" w:name="_Toc101843127"/>
      <w:bookmarkStart w:id="274" w:name="_Toc42394512"/>
      <w:bookmarkStart w:id="275" w:name="_Toc98579606"/>
      <w:bookmarkStart w:id="276" w:name="_Toc101951265"/>
      <w:bookmarkStart w:id="277" w:name="_Toc42316808"/>
      <w:bookmarkStart w:id="278" w:name="_Toc42315183"/>
      <w:bookmarkStart w:id="279" w:name="_Toc42394513"/>
      <w:bookmarkStart w:id="280" w:name="_Toc101775127"/>
      <w:bookmarkStart w:id="281" w:name="_Toc441673387"/>
      <w:bookmarkStart w:id="282" w:name="_Toc98579065"/>
      <w:r>
        <w:rPr>
          <w:rFonts w:hint="eastAsia" w:asciiTheme="minorEastAsia" w:hAnsiTheme="minorEastAsia" w:eastAsiaTheme="minorEastAsia"/>
          <w:b/>
          <w:color w:val="auto"/>
          <w:sz w:val="24"/>
          <w:szCs w:val="24"/>
          <w:highlight w:val="none"/>
        </w:rPr>
        <w:t>开标</w:t>
      </w:r>
      <w:bookmarkEnd w:id="256"/>
      <w:bookmarkEnd w:id="257"/>
      <w:bookmarkEnd w:id="258"/>
      <w:bookmarkEnd w:id="259"/>
      <w:bookmarkEnd w:id="260"/>
      <w:bookmarkEnd w:id="261"/>
    </w:p>
    <w:p w14:paraId="0C04D634">
      <w:pPr>
        <w:numPr>
          <w:ilvl w:val="1"/>
          <w:numId w:val="15"/>
        </w:numPr>
        <w:spacing w:line="360" w:lineRule="auto"/>
        <w:ind w:left="0" w:firstLine="425"/>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本次招标采用一次开标形式。开标时，开启标明“仅供开标用”的单独开标信封，唱出开标一览表中的投标报价。</w:t>
      </w:r>
    </w:p>
    <w:p w14:paraId="0A3BD36E">
      <w:pPr>
        <w:numPr>
          <w:ilvl w:val="1"/>
          <w:numId w:val="15"/>
        </w:numPr>
        <w:spacing w:line="360" w:lineRule="auto"/>
        <w:ind w:left="0" w:firstLine="425"/>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开标地点：</w:t>
      </w:r>
      <w:r>
        <w:rPr>
          <w:rFonts w:hint="eastAsia" w:cs="Arial" w:asciiTheme="minorEastAsia" w:hAnsiTheme="minorEastAsia" w:eastAsiaTheme="minorEastAsia"/>
          <w:b/>
          <w:bCs/>
          <w:color w:val="auto"/>
          <w:sz w:val="24"/>
          <w:szCs w:val="24"/>
          <w:highlight w:val="none"/>
        </w:rPr>
        <w:t>详见招标公告。</w:t>
      </w:r>
    </w:p>
    <w:p w14:paraId="28723D1F">
      <w:pPr>
        <w:numPr>
          <w:ilvl w:val="1"/>
          <w:numId w:val="15"/>
        </w:numPr>
        <w:spacing w:line="360" w:lineRule="auto"/>
        <w:ind w:left="0" w:firstLine="425"/>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采购人按招标公告规定的时间和地点公开开标，开标由招标代理机构主持， 采购人、投标人和有关方面代表参加。评标委员会专家成员不参加开标大会。</w:t>
      </w:r>
    </w:p>
    <w:p w14:paraId="14479341">
      <w:pPr>
        <w:numPr>
          <w:ilvl w:val="1"/>
          <w:numId w:val="15"/>
        </w:numPr>
        <w:spacing w:line="360" w:lineRule="auto"/>
        <w:ind w:left="0" w:firstLine="426"/>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开标时，投标人应由法定代表人</w:t>
      </w:r>
      <w:r>
        <w:rPr>
          <w:rStyle w:val="66"/>
          <w:rFonts w:hint="eastAsia" w:asciiTheme="minorEastAsia" w:hAnsiTheme="minorEastAsia" w:eastAsiaTheme="minorEastAsia"/>
          <w:color w:val="auto"/>
          <w:sz w:val="24"/>
          <w:szCs w:val="24"/>
          <w:highlight w:val="none"/>
        </w:rPr>
        <w:t>/负责人</w:t>
      </w:r>
      <w:r>
        <w:rPr>
          <w:rFonts w:hint="eastAsia" w:cs="Arial" w:asciiTheme="minorEastAsia" w:hAnsiTheme="minorEastAsia" w:eastAsiaTheme="minorEastAsia"/>
          <w:color w:val="auto"/>
          <w:sz w:val="24"/>
          <w:szCs w:val="24"/>
          <w:highlight w:val="none"/>
        </w:rPr>
        <w:t>（提交法定代表人</w:t>
      </w:r>
      <w:r>
        <w:rPr>
          <w:rStyle w:val="66"/>
          <w:rFonts w:hint="eastAsia" w:asciiTheme="minorEastAsia" w:hAnsiTheme="minorEastAsia" w:eastAsiaTheme="minorEastAsia"/>
          <w:color w:val="auto"/>
          <w:sz w:val="24"/>
          <w:szCs w:val="24"/>
          <w:highlight w:val="none"/>
        </w:rPr>
        <w:t>/负责人</w:t>
      </w:r>
      <w:r>
        <w:rPr>
          <w:rFonts w:hint="eastAsia" w:cs="Arial" w:asciiTheme="minorEastAsia" w:hAnsiTheme="minorEastAsia" w:eastAsiaTheme="minorEastAsia"/>
          <w:color w:val="auto"/>
          <w:sz w:val="24"/>
          <w:szCs w:val="24"/>
          <w:highlight w:val="none"/>
        </w:rPr>
        <w:t>证明书，参考格式见第五章）或其委托代理人（提交授权委托证明书，格式见第五章）在开标时间之前到达开标地点，出示身份证原件并签到证明其出席开标会。投标人也可以自主决定不参加开标会。若投标人不出席开标会，则视同对开标过程及结果无异议。对开标有异议的投标人代表应凭法定代表人/负责人证明书原件、授权委托证明书原件（委托授权代表出席开标会的）、本人身份证明原件，提出异议。</w:t>
      </w:r>
    </w:p>
    <w:p w14:paraId="10CC0F6A">
      <w:pPr>
        <w:numPr>
          <w:ilvl w:val="1"/>
          <w:numId w:val="15"/>
        </w:numPr>
        <w:spacing w:line="360" w:lineRule="auto"/>
        <w:ind w:left="0" w:firstLine="426"/>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开标时，由招标代理机构工作人员检查投标文件的密封情况，也可以由采购人委托的公证机构检查并公证</w:t>
      </w:r>
      <w:r>
        <w:rPr>
          <w:rFonts w:hint="eastAsia" w:asciiTheme="minorEastAsia" w:hAnsiTheme="minorEastAsia" w:eastAsiaTheme="minorEastAsia"/>
          <w:color w:val="auto"/>
          <w:sz w:val="24"/>
          <w:highlight w:val="none"/>
        </w:rPr>
        <w:t>。</w:t>
      </w:r>
      <w:r>
        <w:rPr>
          <w:rFonts w:hint="eastAsia" w:cs="Arial" w:asciiTheme="minorEastAsia" w:hAnsiTheme="minorEastAsia" w:eastAsiaTheme="minorEastAsia"/>
          <w:color w:val="auto"/>
          <w:sz w:val="24"/>
          <w:szCs w:val="24"/>
          <w:highlight w:val="none"/>
        </w:rPr>
        <w:t>经确认无误后，由招标代理机构工作人员当众拆封，宣读投标人名称和《开标一览表》内容。未宣读的投标价格、价格折扣和采购文件允许提供的备选投标方案等实质内容，评标时不予承认。</w:t>
      </w:r>
    </w:p>
    <w:p w14:paraId="0AFBC748">
      <w:pPr>
        <w:numPr>
          <w:ilvl w:val="1"/>
          <w:numId w:val="15"/>
        </w:numPr>
        <w:spacing w:line="360" w:lineRule="auto"/>
        <w:ind w:left="0" w:firstLine="426"/>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开标时，招标代理机构当众宣读投标人名称、修改和撤回投标的通知（如有）、投标报价以及招标代理机构认为其他必要的内容。除了按照规定原封退回迟到的投标之外，开标时不得拒绝在投标截止时间前收到的投标文件。</w:t>
      </w:r>
    </w:p>
    <w:p w14:paraId="09C91995">
      <w:pPr>
        <w:numPr>
          <w:ilvl w:val="1"/>
          <w:numId w:val="15"/>
        </w:numPr>
        <w:spacing w:line="360" w:lineRule="auto"/>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迟到或撤回的投标文件将被原封退回给投标人。</w:t>
      </w:r>
    </w:p>
    <w:p w14:paraId="6F88B0B3">
      <w:pPr>
        <w:numPr>
          <w:ilvl w:val="1"/>
          <w:numId w:val="15"/>
        </w:numPr>
        <w:spacing w:line="360" w:lineRule="auto"/>
        <w:ind w:left="0" w:firstLine="425"/>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如开标记录表上内容与投标文件不一致时，投标人法定代表人</w:t>
      </w:r>
      <w:r>
        <w:rPr>
          <w:rStyle w:val="66"/>
          <w:rFonts w:hint="eastAsia" w:asciiTheme="minorEastAsia" w:hAnsiTheme="minorEastAsia" w:eastAsiaTheme="minorEastAsia"/>
          <w:color w:val="auto"/>
          <w:sz w:val="24"/>
          <w:szCs w:val="24"/>
          <w:highlight w:val="none"/>
        </w:rPr>
        <w:t>/负责人</w:t>
      </w:r>
      <w:r>
        <w:rPr>
          <w:rFonts w:hint="eastAsia" w:cs="Arial" w:asciiTheme="minorEastAsia" w:hAnsiTheme="minorEastAsia" w:eastAsiaTheme="minorEastAsia"/>
          <w:color w:val="auto"/>
          <w:sz w:val="24"/>
          <w:szCs w:val="24"/>
          <w:highlight w:val="none"/>
        </w:rPr>
        <w:t>或其委托代理人须当场提出。开标记录表由记录人、唱标人、投标人法定代表人</w:t>
      </w:r>
      <w:r>
        <w:rPr>
          <w:rStyle w:val="66"/>
          <w:rFonts w:hint="eastAsia" w:asciiTheme="minorEastAsia" w:hAnsiTheme="minorEastAsia" w:eastAsiaTheme="minorEastAsia"/>
          <w:color w:val="auto"/>
          <w:sz w:val="24"/>
          <w:szCs w:val="24"/>
          <w:highlight w:val="none"/>
        </w:rPr>
        <w:t>/负责人</w:t>
      </w:r>
      <w:r>
        <w:rPr>
          <w:rFonts w:hint="eastAsia" w:cs="Arial" w:asciiTheme="minorEastAsia" w:hAnsiTheme="minorEastAsia" w:eastAsiaTheme="minorEastAsia"/>
          <w:color w:val="auto"/>
          <w:sz w:val="24"/>
          <w:szCs w:val="24"/>
          <w:highlight w:val="none"/>
        </w:rPr>
        <w:t>或其委托代理人当场签字确认。</w:t>
      </w:r>
    </w:p>
    <w:p w14:paraId="7923602D">
      <w:pPr>
        <w:numPr>
          <w:ilvl w:val="1"/>
          <w:numId w:val="15"/>
        </w:numPr>
        <w:spacing w:line="360" w:lineRule="auto"/>
        <w:ind w:left="0" w:firstLine="425"/>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招标代理机构将记录开标的有关内容，并由投标人签字确认，存档备查。</w:t>
      </w:r>
    </w:p>
    <w:p w14:paraId="3C9F8876">
      <w:pPr>
        <w:widowControl w:val="0"/>
        <w:numPr>
          <w:ilvl w:val="0"/>
          <w:numId w:val="14"/>
        </w:numPr>
        <w:spacing w:line="360" w:lineRule="auto"/>
        <w:ind w:left="567" w:hanging="27"/>
        <w:outlineLvl w:val="1"/>
        <w:rPr>
          <w:rFonts w:asciiTheme="minorEastAsia" w:hAnsiTheme="minorEastAsia" w:eastAsiaTheme="minorEastAsia"/>
          <w:b/>
          <w:color w:val="auto"/>
          <w:sz w:val="24"/>
          <w:szCs w:val="24"/>
          <w:highlight w:val="none"/>
        </w:rPr>
      </w:pPr>
      <w:bookmarkStart w:id="283" w:name="_Toc22295589"/>
      <w:bookmarkStart w:id="284" w:name="_Toc22371"/>
      <w:bookmarkStart w:id="285" w:name="_Toc10401"/>
      <w:bookmarkStart w:id="286" w:name="_Toc26483"/>
      <w:bookmarkStart w:id="287" w:name="_Toc8781"/>
      <w:bookmarkStart w:id="288" w:name="_Toc26452"/>
      <w:r>
        <w:rPr>
          <w:rFonts w:hint="eastAsia" w:asciiTheme="minorEastAsia" w:hAnsiTheme="minorEastAsia" w:eastAsiaTheme="minorEastAsia"/>
          <w:b/>
          <w:color w:val="auto"/>
          <w:sz w:val="24"/>
          <w:szCs w:val="24"/>
          <w:highlight w:val="none"/>
        </w:rPr>
        <w:t>评标</w:t>
      </w:r>
      <w:bookmarkEnd w:id="283"/>
      <w:bookmarkEnd w:id="284"/>
      <w:bookmarkEnd w:id="285"/>
      <w:bookmarkEnd w:id="286"/>
      <w:bookmarkEnd w:id="287"/>
      <w:bookmarkEnd w:id="288"/>
    </w:p>
    <w:p w14:paraId="3E9BF889">
      <w:pPr>
        <w:numPr>
          <w:ilvl w:val="1"/>
          <w:numId w:val="16"/>
        </w:num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评标原则和评标方法</w:t>
      </w:r>
    </w:p>
    <w:p w14:paraId="09AD9A6B">
      <w:pPr>
        <w:pStyle w:val="68"/>
        <w:numPr>
          <w:ilvl w:val="0"/>
          <w:numId w:val="17"/>
        </w:numPr>
        <w:spacing w:line="360" w:lineRule="auto"/>
        <w:ind w:left="0" w:firstLine="426" w:firstLineChars="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基本原则：参考《中华人民共和国招标投标法》以及国家和地方政府有关招标投标法规的有关规定，遵循“公开、公平、公正、择优、信用”的原则进行评标。</w:t>
      </w:r>
    </w:p>
    <w:p w14:paraId="40740F4C">
      <w:pPr>
        <w:numPr>
          <w:ilvl w:val="1"/>
          <w:numId w:val="16"/>
        </w:numPr>
        <w:spacing w:line="360" w:lineRule="auto"/>
        <w:ind w:left="0" w:firstLine="4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本次评标采用综合评分法。评标以采购文件规定的条件为依据。评分比重构成如下：</w:t>
      </w:r>
    </w:p>
    <w:tbl>
      <w:tblPr>
        <w:tblStyle w:val="41"/>
        <w:tblW w:w="6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2002"/>
        <w:gridCol w:w="2130"/>
      </w:tblGrid>
      <w:tr w14:paraId="248E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23" w:type="dxa"/>
            <w:vAlign w:val="center"/>
          </w:tcPr>
          <w:p w14:paraId="2ED7EEEC">
            <w:pPr>
              <w:spacing w:line="360" w:lineRule="auto"/>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评分项目</w:t>
            </w:r>
          </w:p>
        </w:tc>
        <w:tc>
          <w:tcPr>
            <w:tcW w:w="2002" w:type="dxa"/>
            <w:vAlign w:val="center"/>
          </w:tcPr>
          <w:p w14:paraId="1EFC5586">
            <w:pPr>
              <w:spacing w:line="360" w:lineRule="auto"/>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技术</w:t>
            </w:r>
            <w:r>
              <w:rPr>
                <w:rFonts w:hint="eastAsia" w:asciiTheme="minorEastAsia" w:hAnsiTheme="minorEastAsia" w:eastAsiaTheme="minorEastAsia"/>
                <w:bCs/>
                <w:color w:val="auto"/>
                <w:sz w:val="24"/>
                <w:highlight w:val="none"/>
                <w:lang w:val="en-US" w:eastAsia="zh-CN"/>
              </w:rPr>
              <w:t>商务</w:t>
            </w:r>
            <w:r>
              <w:rPr>
                <w:rFonts w:hint="eastAsia" w:asciiTheme="minorEastAsia" w:hAnsiTheme="minorEastAsia" w:eastAsiaTheme="minorEastAsia"/>
                <w:bCs/>
                <w:color w:val="auto"/>
                <w:sz w:val="24"/>
                <w:highlight w:val="none"/>
              </w:rPr>
              <w:t>评分</w:t>
            </w:r>
          </w:p>
        </w:tc>
        <w:tc>
          <w:tcPr>
            <w:tcW w:w="2130" w:type="dxa"/>
            <w:vAlign w:val="center"/>
          </w:tcPr>
          <w:p w14:paraId="6575B1CD">
            <w:pPr>
              <w:spacing w:line="360" w:lineRule="auto"/>
              <w:ind w:left="1673" w:leftChars="12" w:hanging="1648" w:hangingChars="687"/>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价格评分</w:t>
            </w:r>
          </w:p>
        </w:tc>
      </w:tr>
      <w:tr w14:paraId="1DBE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23" w:type="dxa"/>
            <w:vAlign w:val="center"/>
          </w:tcPr>
          <w:p w14:paraId="17BD31A7">
            <w:pPr>
              <w:spacing w:line="360" w:lineRule="auto"/>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分值</w:t>
            </w:r>
          </w:p>
        </w:tc>
        <w:tc>
          <w:tcPr>
            <w:tcW w:w="2002" w:type="dxa"/>
            <w:vAlign w:val="center"/>
          </w:tcPr>
          <w:p w14:paraId="04FC993F">
            <w:pPr>
              <w:spacing w:line="360" w:lineRule="auto"/>
              <w:jc w:val="center"/>
              <w:rPr>
                <w:rFonts w:hint="default"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70</w:t>
            </w:r>
          </w:p>
        </w:tc>
        <w:tc>
          <w:tcPr>
            <w:tcW w:w="2130" w:type="dxa"/>
            <w:vAlign w:val="center"/>
          </w:tcPr>
          <w:p w14:paraId="011D37A8">
            <w:pPr>
              <w:spacing w:line="360" w:lineRule="auto"/>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en-US" w:eastAsia="zh-CN"/>
              </w:rPr>
              <w:t>3</w:t>
            </w:r>
            <w:r>
              <w:rPr>
                <w:rFonts w:hint="eastAsia" w:asciiTheme="minorEastAsia" w:hAnsiTheme="minorEastAsia" w:eastAsiaTheme="minorEastAsia"/>
                <w:bCs/>
                <w:color w:val="auto"/>
                <w:sz w:val="24"/>
                <w:highlight w:val="none"/>
              </w:rPr>
              <w:t>0分</w:t>
            </w:r>
          </w:p>
        </w:tc>
      </w:tr>
    </w:tbl>
    <w:p w14:paraId="6ADFF15D">
      <w:pPr>
        <w:numPr>
          <w:ilvl w:val="1"/>
          <w:numId w:val="16"/>
        </w:numPr>
        <w:spacing w:line="360" w:lineRule="auto"/>
        <w:ind w:left="0" w:firstLine="480" w:firstLineChars="20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本次评标由招标代理机构依法组建的评标委员会负责。本项目评标委员会由</w:t>
      </w:r>
      <w:r>
        <w:rPr>
          <w:rFonts w:hint="eastAsia" w:asciiTheme="minorEastAsia" w:hAnsiTheme="minorEastAsia" w:eastAsiaTheme="minorEastAsia"/>
          <w:color w:val="auto"/>
          <w:sz w:val="24"/>
          <w:szCs w:val="24"/>
          <w:highlight w:val="none"/>
          <w:lang w:eastAsia="zh-CN"/>
        </w:rPr>
        <w:t>招标</w:t>
      </w:r>
      <w:r>
        <w:rPr>
          <w:rFonts w:hint="eastAsia" w:asciiTheme="minorEastAsia" w:hAnsiTheme="minorEastAsia" w:eastAsiaTheme="minorEastAsia"/>
          <w:color w:val="auto"/>
          <w:sz w:val="24"/>
          <w:szCs w:val="24"/>
          <w:highlight w:val="none"/>
        </w:rPr>
        <w:t>人代表和评审专家组成，成员人数应当为5人及以上单数，其中评审专家不得少于成员总数的三分之二。评标委员会将本着公平、公正、科学、择优的原则，严格按照法律法规和采购文件设定的程序和规则推荐评审结果，任何单位和个人不得非法干预或者影响评标过程和结果。</w:t>
      </w:r>
    </w:p>
    <w:p w14:paraId="184F48CC">
      <w:pPr>
        <w:numPr>
          <w:ilvl w:val="1"/>
          <w:numId w:val="16"/>
        </w:numPr>
        <w:spacing w:line="360" w:lineRule="auto"/>
        <w:ind w:left="0" w:firstLine="4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评审专家有下列情形之一的，受到邀请应主动提出回避，采购当事人也可以要求该评审专家回避：</w:t>
      </w:r>
    </w:p>
    <w:p w14:paraId="31887A49">
      <w:pPr>
        <w:numPr>
          <w:ilvl w:val="0"/>
          <w:numId w:val="18"/>
        </w:numPr>
        <w:tabs>
          <w:tab w:val="left" w:pos="0"/>
          <w:tab w:val="left" w:pos="720"/>
          <w:tab w:val="left" w:pos="1080"/>
        </w:tabs>
        <w:spacing w:line="360" w:lineRule="auto"/>
        <w:ind w:left="0" w:firstLine="36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三年内曾在参加本采购项目的投标人中任职或担任顾问的；</w:t>
      </w:r>
    </w:p>
    <w:p w14:paraId="41734C69">
      <w:pPr>
        <w:numPr>
          <w:ilvl w:val="0"/>
          <w:numId w:val="18"/>
        </w:numPr>
        <w:tabs>
          <w:tab w:val="left" w:pos="0"/>
          <w:tab w:val="left" w:pos="720"/>
          <w:tab w:val="left" w:pos="1080"/>
        </w:tabs>
        <w:spacing w:line="360" w:lineRule="auto"/>
        <w:ind w:left="0" w:firstLine="36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配偶或直系亲属在参加本采购项目的投标人中任职或担任顾问的；</w:t>
      </w:r>
    </w:p>
    <w:p w14:paraId="4BE31116">
      <w:pPr>
        <w:numPr>
          <w:ilvl w:val="0"/>
          <w:numId w:val="18"/>
        </w:numPr>
        <w:tabs>
          <w:tab w:val="left" w:pos="0"/>
          <w:tab w:val="left" w:pos="720"/>
          <w:tab w:val="left" w:pos="1080"/>
        </w:tabs>
        <w:spacing w:line="360" w:lineRule="auto"/>
        <w:ind w:left="0" w:firstLine="36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与参加本采购项目投标人发生过法律纠纷或存在其他利益纠纷的；</w:t>
      </w:r>
    </w:p>
    <w:p w14:paraId="1399FA8A">
      <w:pPr>
        <w:numPr>
          <w:ilvl w:val="0"/>
          <w:numId w:val="18"/>
        </w:numPr>
        <w:tabs>
          <w:tab w:val="left" w:pos="0"/>
          <w:tab w:val="left" w:pos="720"/>
          <w:tab w:val="left" w:pos="1080"/>
        </w:tabs>
        <w:spacing w:line="360" w:lineRule="auto"/>
        <w:ind w:left="0" w:firstLine="36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评标委员会中，同一任职单位评审专家超过一名的；</w:t>
      </w:r>
    </w:p>
    <w:p w14:paraId="212F157E">
      <w:pPr>
        <w:numPr>
          <w:ilvl w:val="0"/>
          <w:numId w:val="18"/>
        </w:numPr>
        <w:tabs>
          <w:tab w:val="left" w:pos="0"/>
          <w:tab w:val="left" w:pos="720"/>
          <w:tab w:val="left" w:pos="1080"/>
        </w:tabs>
        <w:spacing w:line="360" w:lineRule="auto"/>
        <w:ind w:left="0" w:firstLine="36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任职单位与采购人或参加本采购项目的投标人存在行政隶属、控股或参股关系的（不含采购人代表）；</w:t>
      </w:r>
    </w:p>
    <w:p w14:paraId="4320AC90">
      <w:pPr>
        <w:numPr>
          <w:ilvl w:val="0"/>
          <w:numId w:val="18"/>
        </w:numPr>
        <w:tabs>
          <w:tab w:val="left" w:pos="0"/>
          <w:tab w:val="left" w:pos="720"/>
          <w:tab w:val="left" w:pos="1080"/>
        </w:tabs>
        <w:spacing w:line="360" w:lineRule="auto"/>
        <w:ind w:left="0" w:firstLine="36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参与本采购项目采购文件、采购需求、采购方式的论证和咨询服务工作的；</w:t>
      </w:r>
    </w:p>
    <w:p w14:paraId="47F38D7B">
      <w:pPr>
        <w:numPr>
          <w:ilvl w:val="0"/>
          <w:numId w:val="18"/>
        </w:numPr>
        <w:tabs>
          <w:tab w:val="left" w:pos="0"/>
          <w:tab w:val="left" w:pos="720"/>
          <w:tab w:val="left" w:pos="1080"/>
        </w:tabs>
        <w:spacing w:line="360" w:lineRule="auto"/>
        <w:ind w:left="0" w:firstLine="36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法律、法规、规章规定应当回避以及其他可能影响公正评审的。</w:t>
      </w:r>
    </w:p>
    <w:p w14:paraId="7FEE7CB9">
      <w:pPr>
        <w:numPr>
          <w:ilvl w:val="1"/>
          <w:numId w:val="16"/>
        </w:numPr>
        <w:spacing w:line="360" w:lineRule="auto"/>
        <w:ind w:left="0" w:firstLine="42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对不同文字文本投标文件的解释发生异议的，以中文文本为准。</w:t>
      </w:r>
    </w:p>
    <w:p w14:paraId="032D0604">
      <w:pPr>
        <w:widowControl w:val="0"/>
        <w:numPr>
          <w:ilvl w:val="0"/>
          <w:numId w:val="14"/>
        </w:numPr>
        <w:spacing w:line="360" w:lineRule="auto"/>
        <w:ind w:left="567" w:hanging="27"/>
        <w:outlineLvl w:val="1"/>
        <w:rPr>
          <w:rFonts w:asciiTheme="minorEastAsia" w:hAnsiTheme="minorEastAsia" w:eastAsiaTheme="minorEastAsia"/>
          <w:b/>
          <w:color w:val="auto"/>
          <w:sz w:val="24"/>
          <w:szCs w:val="24"/>
          <w:highlight w:val="none"/>
        </w:rPr>
      </w:pPr>
      <w:bookmarkStart w:id="289" w:name="_Toc2353"/>
      <w:bookmarkStart w:id="290" w:name="_Toc8651"/>
      <w:bookmarkStart w:id="291" w:name="_Toc22295590"/>
      <w:bookmarkStart w:id="292" w:name="_Toc16380"/>
      <w:bookmarkStart w:id="293" w:name="_Toc18080"/>
      <w:bookmarkStart w:id="294" w:name="_Toc23793"/>
      <w:r>
        <w:rPr>
          <w:rFonts w:hint="eastAsia" w:asciiTheme="minorEastAsia" w:hAnsiTheme="minorEastAsia" w:eastAsiaTheme="minorEastAsia"/>
          <w:b/>
          <w:color w:val="auto"/>
          <w:sz w:val="24"/>
          <w:szCs w:val="24"/>
          <w:highlight w:val="none"/>
        </w:rPr>
        <w:t>评标程序</w:t>
      </w:r>
      <w:bookmarkEnd w:id="289"/>
      <w:bookmarkEnd w:id="290"/>
      <w:bookmarkEnd w:id="291"/>
      <w:bookmarkEnd w:id="292"/>
      <w:bookmarkEnd w:id="293"/>
      <w:bookmarkEnd w:id="294"/>
    </w:p>
    <w:p w14:paraId="42860C01">
      <w:pPr>
        <w:numPr>
          <w:ilvl w:val="1"/>
          <w:numId w:val="19"/>
        </w:num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资格性审查</w:t>
      </w:r>
    </w:p>
    <w:p w14:paraId="2A6E7ED2">
      <w:pPr>
        <w:numPr>
          <w:ilvl w:val="0"/>
          <w:numId w:val="20"/>
        </w:numPr>
        <w:tabs>
          <w:tab w:val="left" w:pos="720"/>
          <w:tab w:val="left" w:pos="1080"/>
        </w:tabs>
        <w:spacing w:line="360" w:lineRule="auto"/>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评标委员会将根据评审细则的规定，对各投标文件进行资格性审查和符合性审查。出现不符合下列情形之一的，该投标人作无效投标处理。《资格性审查表》如下：</w:t>
      </w:r>
    </w:p>
    <w:tbl>
      <w:tblPr>
        <w:tblStyle w:val="41"/>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77"/>
        <w:gridCol w:w="7190"/>
      </w:tblGrid>
      <w:tr w14:paraId="149B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677" w:type="dxa"/>
            <w:vAlign w:val="center"/>
          </w:tcPr>
          <w:p w14:paraId="682644BB">
            <w:pPr>
              <w:tabs>
                <w:tab w:val="left" w:pos="0"/>
                <w:tab w:val="left" w:pos="993"/>
                <w:tab w:val="left" w:pos="1134"/>
              </w:tabs>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审查类别</w:t>
            </w:r>
          </w:p>
        </w:tc>
        <w:tc>
          <w:tcPr>
            <w:tcW w:w="7190" w:type="dxa"/>
            <w:vAlign w:val="center"/>
          </w:tcPr>
          <w:p w14:paraId="159E1757">
            <w:pPr>
              <w:tabs>
                <w:tab w:val="left" w:pos="0"/>
                <w:tab w:val="left" w:pos="993"/>
                <w:tab w:val="left" w:pos="1134"/>
              </w:tabs>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r>
      <w:tr w14:paraId="247D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77" w:type="dxa"/>
            <w:vAlign w:val="center"/>
          </w:tcPr>
          <w:p w14:paraId="702CAB2C">
            <w:pPr>
              <w:tabs>
                <w:tab w:val="left" w:pos="0"/>
                <w:tab w:val="left" w:pos="993"/>
                <w:tab w:val="left" w:pos="1134"/>
              </w:tabs>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资格性审查</w:t>
            </w:r>
          </w:p>
        </w:tc>
        <w:tc>
          <w:tcPr>
            <w:tcW w:w="7190" w:type="dxa"/>
            <w:vAlign w:val="center"/>
          </w:tcPr>
          <w:p w14:paraId="7900D8B7">
            <w:pPr>
              <w:spacing w:line="44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在中华人民共和国境内注册的具有独立承担民事责任能力的法人或其他组织，并取得合法的营业执照。</w:t>
            </w:r>
          </w:p>
          <w:p w14:paraId="35D0F0D1">
            <w:pPr>
              <w:spacing w:line="440" w:lineRule="exact"/>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eastAsia="zh-CN"/>
              </w:rPr>
              <w:t>具备</w:t>
            </w:r>
            <w:r>
              <w:rPr>
                <w:rFonts w:hint="eastAsia" w:ascii="宋体" w:hAnsi="宋体" w:eastAsia="宋体" w:cs="宋体"/>
                <w:color w:val="auto"/>
                <w:sz w:val="24"/>
                <w:szCs w:val="24"/>
                <w:highlight w:val="none"/>
                <w:lang w:val="en-US" w:eastAsia="zh-CN"/>
              </w:rPr>
              <w:t>有效期内的建设行政主管部门颁发的</w:t>
            </w:r>
            <w:r>
              <w:rPr>
                <w:rFonts w:hint="eastAsia" w:ascii="宋体" w:hAnsi="宋体" w:eastAsia="宋体" w:cs="宋体"/>
                <w:color w:val="auto"/>
                <w:sz w:val="24"/>
                <w:szCs w:val="24"/>
                <w:highlight w:val="none"/>
                <w:lang w:eastAsia="zh-CN"/>
              </w:rPr>
              <w:t>建筑装修装饰工程专业承包二级（或以上）资质。</w:t>
            </w:r>
          </w:p>
          <w:p w14:paraId="350314B0">
            <w:pPr>
              <w:spacing w:line="440" w:lineRule="exact"/>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（三）</w:t>
            </w:r>
            <w:r>
              <w:rPr>
                <w:rFonts w:hint="eastAsia" w:ascii="宋体" w:hAnsi="宋体" w:eastAsia="宋体" w:cs="宋体"/>
                <w:color w:val="auto"/>
                <w:sz w:val="24"/>
                <w:szCs w:val="24"/>
                <w:highlight w:val="none"/>
                <w:lang w:val="en-US" w:eastAsia="zh-CN"/>
              </w:rPr>
              <w:t>投标人拟派</w:t>
            </w:r>
            <w:r>
              <w:rPr>
                <w:rFonts w:hint="eastAsia" w:ascii="宋体" w:hAnsi="宋体" w:eastAsia="宋体" w:cs="宋体"/>
                <w:color w:val="auto"/>
                <w:sz w:val="24"/>
                <w:szCs w:val="24"/>
                <w:highlight w:val="none"/>
                <w:lang w:eastAsia="zh-CN"/>
              </w:rPr>
              <w:t>项目负责人需取得建筑工程专业二级</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eastAsia="zh-CN"/>
              </w:rPr>
              <w:t>以上注册建造师执业证书（</w:t>
            </w:r>
            <w:r>
              <w:rPr>
                <w:rFonts w:hint="eastAsia" w:ascii="宋体" w:hAnsi="宋体" w:eastAsia="宋体" w:cs="宋体"/>
                <w:color w:val="auto"/>
                <w:sz w:val="24"/>
                <w:szCs w:val="24"/>
                <w:highlight w:val="none"/>
                <w:lang w:val="en-US" w:eastAsia="zh-CN"/>
              </w:rPr>
              <w:t>注册单位需为报价单位</w:t>
            </w:r>
            <w:r>
              <w:rPr>
                <w:rFonts w:hint="eastAsia" w:ascii="宋体" w:hAnsi="宋体" w:eastAsia="宋体" w:cs="宋体"/>
                <w:color w:val="auto"/>
                <w:sz w:val="24"/>
                <w:szCs w:val="24"/>
                <w:highlight w:val="none"/>
                <w:lang w:eastAsia="zh-CN"/>
              </w:rPr>
              <w:t>），同时持有</w:t>
            </w:r>
            <w:r>
              <w:rPr>
                <w:rFonts w:hint="eastAsia" w:ascii="宋体" w:hAnsi="宋体" w:eastAsia="宋体" w:cs="宋体"/>
                <w:color w:val="auto"/>
                <w:sz w:val="24"/>
                <w:szCs w:val="24"/>
                <w:highlight w:val="none"/>
              </w:rPr>
              <w:t>安全培训考核合格证（B类）或能够提供广东省建筑施工企业管理人员安全生产考核信息系统安全生产管理人员证书信息的网页截图</w:t>
            </w:r>
            <w:r>
              <w:rPr>
                <w:rFonts w:hint="eastAsia" w:ascii="宋体" w:hAnsi="宋体" w:eastAsia="宋体" w:cs="宋体"/>
                <w:color w:val="auto"/>
                <w:sz w:val="24"/>
                <w:szCs w:val="24"/>
                <w:highlight w:val="none"/>
                <w:lang w:eastAsia="zh-CN"/>
              </w:rPr>
              <w:t>，且无在建项目（提供声明函，</w:t>
            </w:r>
            <w:r>
              <w:rPr>
                <w:rFonts w:hint="eastAsia" w:ascii="宋体" w:hAnsi="宋体" w:eastAsia="宋体" w:cs="宋体"/>
                <w:color w:val="auto"/>
                <w:sz w:val="24"/>
                <w:szCs w:val="24"/>
                <w:highlight w:val="none"/>
                <w:lang w:val="en-US" w:eastAsia="zh-CN"/>
              </w:rPr>
              <w:t>格式自拟</w:t>
            </w:r>
            <w:r>
              <w:rPr>
                <w:rFonts w:hint="eastAsia" w:ascii="宋体" w:hAnsi="宋体" w:eastAsia="宋体" w:cs="宋体"/>
                <w:color w:val="auto"/>
                <w:sz w:val="24"/>
                <w:szCs w:val="24"/>
                <w:highlight w:val="none"/>
                <w:lang w:eastAsia="zh-CN"/>
              </w:rPr>
              <w:t>）。</w:t>
            </w:r>
          </w:p>
          <w:p w14:paraId="772E32FD">
            <w:pPr>
              <w:spacing w:line="440" w:lineRule="exact"/>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（四）</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eastAsia="zh-CN"/>
              </w:rPr>
              <w:t>具有良好的商业信誉和健全的财务会计制度。</w:t>
            </w:r>
          </w:p>
          <w:p w14:paraId="5D8E0EC9">
            <w:pPr>
              <w:spacing w:line="44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eastAsia="zh-CN"/>
              </w:rPr>
              <w:t>未被列入“信用中国”网站（www.creditchina.gov.cn）“记录失信被执行人或重大税收违法失信主体”记录名单；不处于中国政府采购网（www.ccgp.gov.cn）“政府采购严重违法失信行为信息记录”中的禁止参加政府采购活动期间。（以招标代理机构于投标（响应）截止时间当天在“信用中国”网站（www.creditchina.gov.cn）及中国政府采购网（www.ccgp.gov.cn） 查询结果为准，如相关失信记录已失效，</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eastAsia="zh-CN"/>
              </w:rPr>
              <w:t>需提供相关证明资料）。</w:t>
            </w:r>
          </w:p>
          <w:p w14:paraId="149DA126">
            <w:pPr>
              <w:spacing w:line="44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eastAsia="zh-CN"/>
              </w:rPr>
              <w:t>单位负责人为同一人或者存在控股、管理等关联关系的不同单位，不得参加本次招标项目</w:t>
            </w:r>
            <w:r>
              <w:rPr>
                <w:rFonts w:hint="eastAsia" w:ascii="宋体" w:hAnsi="宋体" w:eastAsia="宋体" w:cs="宋体"/>
                <w:color w:val="auto"/>
                <w:sz w:val="24"/>
                <w:szCs w:val="24"/>
                <w:highlight w:val="none"/>
                <w:lang w:val="en-US" w:eastAsia="zh-CN"/>
              </w:rPr>
              <w:t>投标。</w:t>
            </w:r>
          </w:p>
        </w:tc>
      </w:tr>
    </w:tbl>
    <w:p w14:paraId="4480D8A3">
      <w:pPr>
        <w:pStyle w:val="6"/>
        <w:tabs>
          <w:tab w:val="left" w:pos="1080"/>
          <w:tab w:val="clear" w:pos="851"/>
        </w:tabs>
        <w:ind w:firstLine="360" w:firstLineChars="1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2.评标委员会进行资格审查时认定投标人不合格的，评标委员会需签署书面意见，并当场书面或电话告知投标人，投标人可在限定的时间内以书面或电话方式进行澄清，评标委员会不再接受其他外部材料。</w:t>
      </w:r>
    </w:p>
    <w:p w14:paraId="726EC7F3">
      <w:pPr>
        <w:pStyle w:val="6"/>
        <w:tabs>
          <w:tab w:val="left" w:pos="1080"/>
          <w:tab w:val="clear" w:pos="851"/>
        </w:tabs>
        <w:ind w:firstLine="360" w:firstLineChars="1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3.不通过资格性审查或投标无效的，不作符合性审查。</w:t>
      </w:r>
    </w:p>
    <w:p w14:paraId="1A2DB42E">
      <w:pPr>
        <w:tabs>
          <w:tab w:val="left" w:pos="0"/>
          <w:tab w:val="left" w:pos="720"/>
          <w:tab w:val="left" w:pos="840"/>
          <w:tab w:val="left" w:pos="1080"/>
        </w:tabs>
        <w:spacing w:line="360" w:lineRule="auto"/>
        <w:ind w:firstLine="240" w:firstLineChars="10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（二）符合性审查</w:t>
      </w:r>
    </w:p>
    <w:p w14:paraId="18881995">
      <w:pPr>
        <w:pStyle w:val="6"/>
        <w:tabs>
          <w:tab w:val="left" w:pos="1080"/>
          <w:tab w:val="clear" w:pos="851"/>
        </w:tabs>
        <w:ind w:firstLine="360" w:firstLineChars="1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1.评标委员会将根据评审细则的规定，对投标文件进行符合性审查。出现不符合下列情形之一的，该投标人作无效投标处理。《符合性审查表》如下：</w:t>
      </w:r>
    </w:p>
    <w:tbl>
      <w:tblPr>
        <w:tblStyle w:val="41"/>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77"/>
        <w:gridCol w:w="7190"/>
      </w:tblGrid>
      <w:tr w14:paraId="706A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677" w:type="dxa"/>
            <w:vAlign w:val="center"/>
          </w:tcPr>
          <w:p w14:paraId="4ADF19AD">
            <w:pPr>
              <w:tabs>
                <w:tab w:val="left" w:pos="0"/>
                <w:tab w:val="left" w:pos="993"/>
                <w:tab w:val="left" w:pos="1134"/>
              </w:tabs>
              <w:adjustRightInd w:val="0"/>
              <w:snapToGrid w:val="0"/>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审查类别</w:t>
            </w:r>
          </w:p>
        </w:tc>
        <w:tc>
          <w:tcPr>
            <w:tcW w:w="7190" w:type="dxa"/>
            <w:vAlign w:val="center"/>
          </w:tcPr>
          <w:p w14:paraId="18764EC0">
            <w:pPr>
              <w:tabs>
                <w:tab w:val="left" w:pos="0"/>
                <w:tab w:val="left" w:pos="993"/>
                <w:tab w:val="left" w:pos="1134"/>
              </w:tabs>
              <w:adjustRightInd w:val="0"/>
              <w:snapToGrid w:val="0"/>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审查内容</w:t>
            </w:r>
          </w:p>
        </w:tc>
      </w:tr>
      <w:tr w14:paraId="416A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677" w:type="dxa"/>
            <w:vMerge w:val="restart"/>
            <w:vAlign w:val="center"/>
          </w:tcPr>
          <w:p w14:paraId="4729680B">
            <w:pPr>
              <w:tabs>
                <w:tab w:val="left" w:pos="0"/>
                <w:tab w:val="left" w:pos="993"/>
                <w:tab w:val="left" w:pos="1134"/>
              </w:tabs>
              <w:adjustRightInd w:val="0"/>
              <w:snapToGrid w:val="0"/>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符合性审查</w:t>
            </w:r>
          </w:p>
        </w:tc>
        <w:tc>
          <w:tcPr>
            <w:tcW w:w="7190" w:type="dxa"/>
            <w:vAlign w:val="center"/>
          </w:tcPr>
          <w:p w14:paraId="4085581F">
            <w:pPr>
              <w:tabs>
                <w:tab w:val="left" w:pos="163"/>
                <w:tab w:val="left" w:pos="840"/>
              </w:tabs>
              <w:adjustRightInd w:val="0"/>
              <w:snapToGrid w:val="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有盖章、签署要求的格式文件已按要求盖章、签署。</w:t>
            </w:r>
          </w:p>
        </w:tc>
      </w:tr>
      <w:tr w14:paraId="1E56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677" w:type="dxa"/>
            <w:vMerge w:val="continue"/>
            <w:vAlign w:val="center"/>
          </w:tcPr>
          <w:p w14:paraId="279BD27D">
            <w:pPr>
              <w:tabs>
                <w:tab w:val="left" w:pos="0"/>
                <w:tab w:val="left" w:pos="993"/>
                <w:tab w:val="left" w:pos="1134"/>
              </w:tabs>
              <w:adjustRightInd w:val="0"/>
              <w:snapToGrid w:val="0"/>
              <w:jc w:val="center"/>
              <w:rPr>
                <w:rFonts w:asciiTheme="minorEastAsia" w:hAnsiTheme="minorEastAsia" w:eastAsiaTheme="minorEastAsia"/>
                <w:color w:val="auto"/>
                <w:sz w:val="24"/>
                <w:szCs w:val="24"/>
                <w:highlight w:val="none"/>
              </w:rPr>
            </w:pPr>
          </w:p>
        </w:tc>
        <w:tc>
          <w:tcPr>
            <w:tcW w:w="7190" w:type="dxa"/>
            <w:vAlign w:val="center"/>
          </w:tcPr>
          <w:p w14:paraId="27BBD90A">
            <w:pPr>
              <w:tabs>
                <w:tab w:val="left" w:pos="163"/>
                <w:tab w:val="left" w:pos="840"/>
              </w:tabs>
              <w:adjustRightInd w:val="0"/>
              <w:snapToGrid w:val="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完全满足采购文件中带★号的条款和</w:t>
            </w:r>
            <w:r>
              <w:rPr>
                <w:rFonts w:hint="eastAsia" w:asciiTheme="minorEastAsia" w:hAnsiTheme="minorEastAsia" w:eastAsiaTheme="minorEastAsia"/>
                <w:color w:val="auto"/>
                <w:sz w:val="24"/>
                <w:szCs w:val="24"/>
                <w:highlight w:val="none"/>
                <w:lang w:eastAsia="zh-CN"/>
              </w:rPr>
              <w:t>招标人需求</w:t>
            </w:r>
            <w:r>
              <w:rPr>
                <w:rFonts w:hint="eastAsia" w:asciiTheme="minorEastAsia" w:hAnsiTheme="minorEastAsia" w:eastAsiaTheme="minorEastAsia"/>
                <w:color w:val="auto"/>
                <w:sz w:val="24"/>
                <w:szCs w:val="24"/>
                <w:highlight w:val="none"/>
              </w:rPr>
              <w:t>中的采购需求，无重大偏离(审查《实质性响应条款一览表》)</w:t>
            </w:r>
          </w:p>
        </w:tc>
      </w:tr>
      <w:tr w14:paraId="7B97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677" w:type="dxa"/>
            <w:vMerge w:val="continue"/>
            <w:vAlign w:val="center"/>
          </w:tcPr>
          <w:p w14:paraId="64550500">
            <w:pPr>
              <w:tabs>
                <w:tab w:val="left" w:pos="0"/>
                <w:tab w:val="left" w:pos="993"/>
                <w:tab w:val="left" w:pos="1134"/>
              </w:tabs>
              <w:adjustRightInd w:val="0"/>
              <w:snapToGrid w:val="0"/>
              <w:jc w:val="center"/>
              <w:rPr>
                <w:rFonts w:asciiTheme="minorEastAsia" w:hAnsiTheme="minorEastAsia" w:eastAsiaTheme="minorEastAsia"/>
                <w:color w:val="auto"/>
                <w:sz w:val="24"/>
                <w:szCs w:val="24"/>
                <w:highlight w:val="none"/>
              </w:rPr>
            </w:pPr>
          </w:p>
        </w:tc>
        <w:tc>
          <w:tcPr>
            <w:tcW w:w="7190" w:type="dxa"/>
            <w:vAlign w:val="center"/>
          </w:tcPr>
          <w:p w14:paraId="59B49F40">
            <w:pPr>
              <w:tabs>
                <w:tab w:val="left" w:pos="163"/>
                <w:tab w:val="left" w:pos="840"/>
              </w:tabs>
              <w:adjustRightInd w:val="0"/>
              <w:snapToGrid w:val="0"/>
              <w:jc w:val="both"/>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已按招标文件规定提交投标保证金</w:t>
            </w:r>
          </w:p>
        </w:tc>
      </w:tr>
      <w:tr w14:paraId="6FEC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677" w:type="dxa"/>
            <w:vMerge w:val="continue"/>
            <w:vAlign w:val="center"/>
          </w:tcPr>
          <w:p w14:paraId="6C42E780">
            <w:pPr>
              <w:tabs>
                <w:tab w:val="left" w:pos="0"/>
                <w:tab w:val="left" w:pos="993"/>
                <w:tab w:val="left" w:pos="1134"/>
              </w:tabs>
              <w:adjustRightInd w:val="0"/>
              <w:snapToGrid w:val="0"/>
              <w:jc w:val="center"/>
              <w:rPr>
                <w:rFonts w:asciiTheme="minorEastAsia" w:hAnsiTheme="minorEastAsia" w:eastAsiaTheme="minorEastAsia"/>
                <w:color w:val="auto"/>
                <w:sz w:val="24"/>
                <w:szCs w:val="24"/>
                <w:highlight w:val="none"/>
              </w:rPr>
            </w:pPr>
          </w:p>
        </w:tc>
        <w:tc>
          <w:tcPr>
            <w:tcW w:w="7190" w:type="dxa"/>
            <w:vAlign w:val="center"/>
          </w:tcPr>
          <w:p w14:paraId="0FBAAF53">
            <w:pPr>
              <w:tabs>
                <w:tab w:val="left" w:pos="163"/>
                <w:tab w:val="left" w:pos="840"/>
              </w:tabs>
              <w:adjustRightInd w:val="0"/>
              <w:snapToGrid w:val="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未发现属无效投标的其他情形（见表末说明）</w:t>
            </w:r>
          </w:p>
        </w:tc>
      </w:tr>
      <w:tr w14:paraId="203E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677" w:type="dxa"/>
            <w:vMerge w:val="continue"/>
            <w:vAlign w:val="center"/>
          </w:tcPr>
          <w:p w14:paraId="481FB34E">
            <w:pPr>
              <w:tabs>
                <w:tab w:val="left" w:pos="0"/>
                <w:tab w:val="left" w:pos="993"/>
                <w:tab w:val="left" w:pos="1134"/>
              </w:tabs>
              <w:adjustRightInd w:val="0"/>
              <w:snapToGrid w:val="0"/>
              <w:jc w:val="center"/>
              <w:rPr>
                <w:rFonts w:asciiTheme="minorEastAsia" w:hAnsiTheme="minorEastAsia" w:eastAsiaTheme="minorEastAsia"/>
                <w:color w:val="auto"/>
                <w:sz w:val="24"/>
                <w:szCs w:val="24"/>
                <w:highlight w:val="none"/>
              </w:rPr>
            </w:pPr>
          </w:p>
        </w:tc>
        <w:tc>
          <w:tcPr>
            <w:tcW w:w="7190" w:type="dxa"/>
            <w:vAlign w:val="center"/>
          </w:tcPr>
          <w:p w14:paraId="1DB41FC3">
            <w:pPr>
              <w:tabs>
                <w:tab w:val="left" w:pos="163"/>
                <w:tab w:val="left" w:pos="840"/>
              </w:tabs>
              <w:adjustRightInd w:val="0"/>
              <w:snapToGrid w:val="0"/>
              <w:jc w:val="both"/>
              <w:rPr>
                <w:rFonts w:asciiTheme="minorEastAsia" w:hAnsiTheme="minorEastAsia"/>
                <w:color w:val="auto"/>
                <w:sz w:val="24"/>
                <w:szCs w:val="24"/>
                <w:highlight w:val="none"/>
              </w:rPr>
            </w:pPr>
            <w:r>
              <w:rPr>
                <w:rFonts w:hint="eastAsia" w:asciiTheme="minorEastAsia" w:hAnsiTheme="minorEastAsia" w:eastAsiaTheme="minorEastAsia"/>
                <w:color w:val="auto"/>
                <w:sz w:val="24"/>
                <w:szCs w:val="24"/>
                <w:highlight w:val="none"/>
              </w:rPr>
              <w:t>投标报价唯一，且未超过最高限价。</w:t>
            </w:r>
          </w:p>
        </w:tc>
      </w:tr>
      <w:tr w14:paraId="3FB9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677" w:type="dxa"/>
            <w:vMerge w:val="continue"/>
            <w:vAlign w:val="center"/>
          </w:tcPr>
          <w:p w14:paraId="778A77D8">
            <w:pPr>
              <w:tabs>
                <w:tab w:val="left" w:pos="0"/>
                <w:tab w:val="left" w:pos="993"/>
                <w:tab w:val="left" w:pos="1134"/>
              </w:tabs>
              <w:adjustRightInd w:val="0"/>
              <w:snapToGrid w:val="0"/>
              <w:jc w:val="center"/>
              <w:rPr>
                <w:rFonts w:asciiTheme="minorEastAsia" w:hAnsiTheme="minorEastAsia" w:eastAsiaTheme="minorEastAsia"/>
                <w:color w:val="auto"/>
                <w:sz w:val="24"/>
                <w:szCs w:val="24"/>
                <w:highlight w:val="none"/>
              </w:rPr>
            </w:pPr>
          </w:p>
        </w:tc>
        <w:tc>
          <w:tcPr>
            <w:tcW w:w="7190" w:type="dxa"/>
            <w:vAlign w:val="center"/>
          </w:tcPr>
          <w:p w14:paraId="2DED062F">
            <w:pPr>
              <w:tabs>
                <w:tab w:val="left" w:pos="163"/>
                <w:tab w:val="left" w:pos="840"/>
              </w:tabs>
              <w:adjustRightInd w:val="0"/>
              <w:snapToGrid w:val="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符合招标文件投标有效期要求的</w:t>
            </w:r>
          </w:p>
        </w:tc>
      </w:tr>
    </w:tbl>
    <w:p w14:paraId="1397EB1D">
      <w:pPr>
        <w:tabs>
          <w:tab w:val="left" w:pos="720"/>
          <w:tab w:val="left" w:pos="1080"/>
        </w:tabs>
        <w:spacing w:line="360" w:lineRule="auto"/>
        <w:ind w:firstLine="480" w:firstLineChars="2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说明：以下为属于无效投标的其他情况。</w:t>
      </w:r>
    </w:p>
    <w:p w14:paraId="41AA3A04">
      <w:pPr>
        <w:pStyle w:val="6"/>
        <w:tabs>
          <w:tab w:val="left" w:pos="1080"/>
          <w:tab w:val="clear" w:pos="851"/>
        </w:tabs>
        <w:ind w:firstLine="360" w:firstLineChars="1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（1）评标期间，投标人没有按评标委员会的要求提交</w:t>
      </w:r>
      <w:r>
        <w:rPr>
          <w:rFonts w:hint="eastAsia" w:cs="Arial" w:asciiTheme="minorEastAsia" w:hAnsiTheme="minorEastAsia" w:eastAsiaTheme="minorEastAsia"/>
          <w:color w:val="auto"/>
          <w:sz w:val="24"/>
          <w:szCs w:val="24"/>
          <w:highlight w:val="none"/>
        </w:rPr>
        <w:t>法定代表人</w:t>
      </w:r>
      <w:r>
        <w:rPr>
          <w:rStyle w:val="66"/>
          <w:rFonts w:hint="eastAsia" w:asciiTheme="minorEastAsia" w:hAnsiTheme="minorEastAsia" w:eastAsiaTheme="minorEastAsia"/>
          <w:color w:val="auto"/>
          <w:sz w:val="24"/>
          <w:szCs w:val="24"/>
          <w:highlight w:val="none"/>
        </w:rPr>
        <w:t>/负责人</w:t>
      </w:r>
      <w:r>
        <w:rPr>
          <w:rFonts w:hint="eastAsia" w:cs="Arial" w:asciiTheme="minorEastAsia" w:hAnsiTheme="minorEastAsia" w:eastAsiaTheme="minorEastAsia"/>
          <w:color w:val="auto"/>
          <w:sz w:val="24"/>
          <w:szCs w:val="24"/>
          <w:highlight w:val="none"/>
        </w:rPr>
        <w:t>或其委托代理人</w:t>
      </w:r>
      <w:r>
        <w:rPr>
          <w:rFonts w:hint="eastAsia" w:asciiTheme="minorEastAsia" w:hAnsiTheme="minorEastAsia" w:eastAsiaTheme="minorEastAsia"/>
          <w:color w:val="auto"/>
          <w:sz w:val="24"/>
          <w:szCs w:val="24"/>
          <w:highlight w:val="none"/>
        </w:rPr>
        <w:t>签字的澄清、说明、补正或改变了投标文件的实质性内容的；</w:t>
      </w:r>
    </w:p>
    <w:p w14:paraId="1134909D">
      <w:pPr>
        <w:pStyle w:val="6"/>
        <w:tabs>
          <w:tab w:val="left" w:pos="1080"/>
          <w:tab w:val="clear" w:pos="851"/>
        </w:tabs>
        <w:ind w:firstLine="360" w:firstLineChars="1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（2）投标文件提供虚假材料的；</w:t>
      </w:r>
    </w:p>
    <w:p w14:paraId="577F845A">
      <w:pPr>
        <w:pStyle w:val="6"/>
        <w:tabs>
          <w:tab w:val="left" w:pos="1080"/>
          <w:tab w:val="clear" w:pos="851"/>
        </w:tabs>
        <w:ind w:firstLine="360" w:firstLineChars="1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（3）投标人以他人的名义投标、串通投标、以行贿手段谋取中标或者以其他弄虚作假方式投标的；</w:t>
      </w:r>
    </w:p>
    <w:p w14:paraId="7A8BACDB">
      <w:pPr>
        <w:pStyle w:val="6"/>
        <w:tabs>
          <w:tab w:val="left" w:pos="1080"/>
          <w:tab w:val="clear" w:pos="851"/>
        </w:tabs>
        <w:ind w:firstLine="360" w:firstLineChars="1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（4）投标人对采购人</w:t>
      </w:r>
      <w:r>
        <w:rPr>
          <w:rFonts w:hint="eastAsia" w:asciiTheme="minorEastAsia" w:hAnsiTheme="minorEastAsia" w:eastAsiaTheme="minorEastAsia"/>
          <w:color w:val="auto"/>
          <w:sz w:val="24"/>
          <w:highlight w:val="none"/>
        </w:rPr>
        <w:t>、招标代理机构、评标委员会及其工作人员施加影响，有碍招标公平、公正的；</w:t>
      </w:r>
    </w:p>
    <w:p w14:paraId="3122B03A">
      <w:pPr>
        <w:pStyle w:val="6"/>
        <w:tabs>
          <w:tab w:val="left" w:pos="1080"/>
          <w:tab w:val="clear" w:pos="851"/>
        </w:tabs>
        <w:ind w:firstLine="360" w:firstLineChars="1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（5）按有关法律、法规、规章规定属于无效投标的。</w:t>
      </w:r>
    </w:p>
    <w:p w14:paraId="1FBA1D38">
      <w:pPr>
        <w:widowControl w:val="0"/>
        <w:numPr>
          <w:ilvl w:val="0"/>
          <w:numId w:val="20"/>
        </w:numPr>
        <w:tabs>
          <w:tab w:val="left" w:pos="0"/>
          <w:tab w:val="left" w:pos="720"/>
          <w:tab w:val="left" w:pos="1080"/>
        </w:tabs>
        <w:spacing w:line="360" w:lineRule="auto"/>
        <w:ind w:left="0" w:firstLine="42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评标委员会认为，投标人的报价明显不合理或者明显低于其他投标报价，有可能影响项目质量和不能诚信履约的，应当要求该投标人作出书面说明并提供相关证明材料。投标人不能合理说明或者不能提供相关证明材料的，由评标委员会认定该投标人以低于成本报价竞标，投标无效。</w:t>
      </w:r>
    </w:p>
    <w:p w14:paraId="764128E3">
      <w:pPr>
        <w:numPr>
          <w:ilvl w:val="0"/>
          <w:numId w:val="20"/>
        </w:numPr>
        <w:tabs>
          <w:tab w:val="left" w:pos="0"/>
          <w:tab w:val="left" w:pos="720"/>
          <w:tab w:val="left" w:pos="1080"/>
        </w:tabs>
        <w:spacing w:line="360" w:lineRule="auto"/>
        <w:ind w:left="0" w:firstLine="42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对不通过初审或被认定其投标无效的，评标委员会需签署书面意见，并当场书面或电话告知投标人，投标人可在限定的时间内以书面或电话方式进行澄清，评标委员会不再接受其他外部材料。</w:t>
      </w:r>
    </w:p>
    <w:p w14:paraId="4B867D16">
      <w:pPr>
        <w:numPr>
          <w:ilvl w:val="0"/>
          <w:numId w:val="20"/>
        </w:numPr>
        <w:tabs>
          <w:tab w:val="left" w:pos="0"/>
          <w:tab w:val="left" w:pos="720"/>
          <w:tab w:val="left" w:pos="1080"/>
        </w:tabs>
        <w:spacing w:line="360" w:lineRule="auto"/>
        <w:ind w:left="0" w:firstLine="42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被评标委员会确定为投标文件无效的，其投标文件即被视为不能通过初审，不得参与技术商务和价格的评审。</w:t>
      </w:r>
    </w:p>
    <w:p w14:paraId="28B909FD">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（三）投标文件的澄清</w:t>
      </w:r>
    </w:p>
    <w:p w14:paraId="16B8A08C">
      <w:pPr>
        <w:numPr>
          <w:ilvl w:val="0"/>
          <w:numId w:val="21"/>
        </w:numPr>
        <w:tabs>
          <w:tab w:val="left" w:pos="0"/>
          <w:tab w:val="left" w:pos="720"/>
          <w:tab w:val="left" w:pos="1080"/>
        </w:tabs>
        <w:spacing w:line="360" w:lineRule="auto"/>
        <w:ind w:left="0" w:firstLine="42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对投标文件中含义不明确、同类问题表述不一致或者有明显文字和计算错误的内容，评标委员会可以书面形式要求投标人作出必要的澄清、说明或者纠正。</w:t>
      </w:r>
    </w:p>
    <w:p w14:paraId="6CBBF06B">
      <w:pPr>
        <w:numPr>
          <w:ilvl w:val="0"/>
          <w:numId w:val="21"/>
        </w:numPr>
        <w:tabs>
          <w:tab w:val="left" w:pos="0"/>
          <w:tab w:val="left" w:pos="720"/>
          <w:tab w:val="left" w:pos="1080"/>
        </w:tabs>
        <w:spacing w:line="360" w:lineRule="auto"/>
        <w:ind w:left="0" w:firstLine="42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投标人的澄清、说明或者补正应当采用书面形式，由其授权的代表签字，并不得超出投标文件的范围或者改变投标文件的实质性内容。</w:t>
      </w:r>
    </w:p>
    <w:p w14:paraId="0C1BDA74">
      <w:pPr>
        <w:numPr>
          <w:ilvl w:val="0"/>
          <w:numId w:val="21"/>
        </w:numPr>
        <w:tabs>
          <w:tab w:val="left" w:pos="0"/>
          <w:tab w:val="left" w:pos="720"/>
          <w:tab w:val="left" w:pos="1080"/>
        </w:tabs>
        <w:spacing w:line="360" w:lineRule="auto"/>
        <w:ind w:left="0" w:firstLine="42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除上述规定的情形之外，评标委员会在评审过程中，不得接收来自评审现场以外的任何形式的文件资料。</w:t>
      </w:r>
    </w:p>
    <w:p w14:paraId="3B043BDF">
      <w:pPr>
        <w:numPr>
          <w:ilvl w:val="0"/>
          <w:numId w:val="21"/>
        </w:numPr>
        <w:tabs>
          <w:tab w:val="left" w:pos="0"/>
          <w:tab w:val="left" w:pos="720"/>
          <w:tab w:val="left" w:pos="1080"/>
        </w:tabs>
        <w:spacing w:line="360" w:lineRule="auto"/>
        <w:ind w:left="0" w:firstLine="42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如果投标文件实质上不响应采购文件的各项要求，评标委员会将按照采购文件要求予以拒绝，不接受投标人通过修改或撤销其不符合要求的差异或保留，使之成为具有响应性的投标。</w:t>
      </w:r>
    </w:p>
    <w:p w14:paraId="668176D7">
      <w:pPr>
        <w:spacing w:line="360" w:lineRule="auto"/>
        <w:ind w:firstLine="240" w:firstLineChars="1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（四）综合评分（100分）</w:t>
      </w:r>
    </w:p>
    <w:p w14:paraId="0AA92B1B">
      <w:pPr>
        <w:pStyle w:val="164"/>
        <w:spacing w:line="360" w:lineRule="auto"/>
        <w:ind w:left="840" w:hanging="360" w:firstLineChars="0"/>
        <w:rPr>
          <w:rFonts w:asciiTheme="minorEastAsia" w:hAnsiTheme="minorEastAsia" w:eastAsiaTheme="minorEastAsia"/>
          <w:bCs/>
          <w:color w:val="auto"/>
          <w:sz w:val="24"/>
          <w:szCs w:val="24"/>
          <w:highlight w:val="none"/>
        </w:rPr>
      </w:pPr>
      <w:r>
        <w:rPr>
          <w:rFonts w:asciiTheme="minorEastAsia" w:hAnsiTheme="minorEastAsia" w:eastAsiaTheme="minorEastAsia"/>
          <w:bCs/>
          <w:color w:val="auto"/>
          <w:sz w:val="24"/>
          <w:szCs w:val="24"/>
          <w:highlight w:val="none"/>
        </w:rPr>
        <w:t>1、</w:t>
      </w:r>
      <w:r>
        <w:rPr>
          <w:rFonts w:hint="eastAsia" w:asciiTheme="minorEastAsia" w:hAnsiTheme="minorEastAsia" w:eastAsiaTheme="minorEastAsia"/>
          <w:bCs/>
          <w:color w:val="auto"/>
          <w:sz w:val="24"/>
          <w:szCs w:val="24"/>
          <w:highlight w:val="none"/>
        </w:rPr>
        <w:t>技术</w:t>
      </w:r>
      <w:r>
        <w:rPr>
          <w:rFonts w:hint="eastAsia" w:asciiTheme="minorEastAsia" w:hAnsiTheme="minorEastAsia" w:eastAsiaTheme="minorEastAsia"/>
          <w:bCs/>
          <w:color w:val="auto"/>
          <w:sz w:val="24"/>
          <w:szCs w:val="24"/>
          <w:highlight w:val="none"/>
          <w:lang w:val="en-US" w:eastAsia="zh-CN"/>
        </w:rPr>
        <w:t>商务</w:t>
      </w:r>
      <w:r>
        <w:rPr>
          <w:rFonts w:hint="eastAsia" w:asciiTheme="minorEastAsia" w:hAnsiTheme="minorEastAsia" w:eastAsiaTheme="minorEastAsia"/>
          <w:bCs/>
          <w:color w:val="auto"/>
          <w:sz w:val="24"/>
          <w:szCs w:val="24"/>
          <w:highlight w:val="none"/>
        </w:rPr>
        <w:t>评分（</w:t>
      </w:r>
      <w:r>
        <w:rPr>
          <w:rFonts w:hint="eastAsia" w:asciiTheme="minorEastAsia" w:hAnsiTheme="minorEastAsia" w:eastAsiaTheme="minorEastAsia"/>
          <w:bCs/>
          <w:color w:val="auto"/>
          <w:sz w:val="24"/>
          <w:szCs w:val="24"/>
          <w:highlight w:val="none"/>
          <w:lang w:val="en-US" w:eastAsia="zh-CN"/>
        </w:rPr>
        <w:t>7</w:t>
      </w:r>
      <w:r>
        <w:rPr>
          <w:rFonts w:hint="eastAsia" w:asciiTheme="minorEastAsia" w:hAnsiTheme="minorEastAsia" w:eastAsiaTheme="minorEastAsia"/>
          <w:bCs/>
          <w:color w:val="auto"/>
          <w:sz w:val="24"/>
          <w:szCs w:val="24"/>
          <w:highlight w:val="none"/>
        </w:rPr>
        <w:t>0分）</w:t>
      </w:r>
    </w:p>
    <w:p w14:paraId="01967A48">
      <w:pPr>
        <w:spacing w:line="360" w:lineRule="auto"/>
        <w:ind w:firstLine="720" w:firstLineChars="3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由评标委员会成员对所有有效投标文件的技术</w:t>
      </w:r>
      <w:r>
        <w:rPr>
          <w:rFonts w:hint="eastAsia" w:asciiTheme="minorEastAsia" w:hAnsiTheme="minorEastAsia" w:eastAsiaTheme="minorEastAsia"/>
          <w:color w:val="auto"/>
          <w:sz w:val="24"/>
          <w:szCs w:val="24"/>
          <w:highlight w:val="none"/>
          <w:lang w:val="en-US" w:eastAsia="zh-CN"/>
        </w:rPr>
        <w:t>商务文件</w:t>
      </w:r>
      <w:r>
        <w:rPr>
          <w:rFonts w:hint="eastAsia" w:asciiTheme="minorEastAsia" w:hAnsiTheme="minorEastAsia" w:eastAsiaTheme="minorEastAsia"/>
          <w:color w:val="auto"/>
          <w:sz w:val="24"/>
          <w:szCs w:val="24"/>
          <w:highlight w:val="none"/>
        </w:rPr>
        <w:t>进行审核和分析，填写《技术</w:t>
      </w:r>
      <w:r>
        <w:rPr>
          <w:rFonts w:hint="eastAsia" w:asciiTheme="minorEastAsia" w:hAnsiTheme="minorEastAsia" w:eastAsiaTheme="minorEastAsia"/>
          <w:color w:val="auto"/>
          <w:sz w:val="24"/>
          <w:szCs w:val="24"/>
          <w:highlight w:val="none"/>
          <w:lang w:val="en-US" w:eastAsia="zh-CN"/>
        </w:rPr>
        <w:t>商务</w:t>
      </w:r>
      <w:r>
        <w:rPr>
          <w:rFonts w:hint="eastAsia" w:asciiTheme="minorEastAsia" w:hAnsiTheme="minorEastAsia" w:eastAsiaTheme="minorEastAsia"/>
          <w:color w:val="auto"/>
          <w:sz w:val="24"/>
          <w:szCs w:val="24"/>
          <w:highlight w:val="none"/>
        </w:rPr>
        <w:t>评分表》，如下：</w:t>
      </w:r>
    </w:p>
    <w:tbl>
      <w:tblPr>
        <w:tblStyle w:val="42"/>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540"/>
        <w:gridCol w:w="5135"/>
        <w:gridCol w:w="1107"/>
      </w:tblGrid>
      <w:tr w14:paraId="1019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1311" w:type="dxa"/>
            <w:vAlign w:val="center"/>
          </w:tcPr>
          <w:p w14:paraId="5F4457EA">
            <w:pPr>
              <w:keepNext w:val="0"/>
              <w:keepLines w:val="0"/>
              <w:pageBreakBefore w:val="0"/>
              <w:widowControl w:val="0"/>
              <w:kinsoku/>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评定项目</w:t>
            </w:r>
          </w:p>
        </w:tc>
        <w:tc>
          <w:tcPr>
            <w:tcW w:w="1540" w:type="dxa"/>
            <w:vAlign w:val="center"/>
          </w:tcPr>
          <w:p w14:paraId="6473C691">
            <w:pPr>
              <w:keepNext w:val="0"/>
              <w:keepLines w:val="0"/>
              <w:pageBreakBefore w:val="0"/>
              <w:widowControl w:val="0"/>
              <w:kinsoku/>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评审内容</w:t>
            </w:r>
          </w:p>
        </w:tc>
        <w:tc>
          <w:tcPr>
            <w:tcW w:w="5135" w:type="dxa"/>
            <w:vAlign w:val="center"/>
          </w:tcPr>
          <w:p w14:paraId="221DB74F">
            <w:pPr>
              <w:keepNext w:val="0"/>
              <w:keepLines w:val="0"/>
              <w:pageBreakBefore w:val="0"/>
              <w:widowControl w:val="0"/>
              <w:kinsoku/>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评审细则</w:t>
            </w:r>
          </w:p>
        </w:tc>
        <w:tc>
          <w:tcPr>
            <w:tcW w:w="1107" w:type="dxa"/>
            <w:vAlign w:val="center"/>
          </w:tcPr>
          <w:p w14:paraId="101BDC1D">
            <w:pPr>
              <w:keepNext w:val="0"/>
              <w:keepLines w:val="0"/>
              <w:pageBreakBefore w:val="0"/>
              <w:widowControl w:val="0"/>
              <w:kinsoku/>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分值</w:t>
            </w:r>
          </w:p>
        </w:tc>
      </w:tr>
      <w:tr w14:paraId="45AF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311" w:type="dxa"/>
            <w:vMerge w:val="restart"/>
            <w:vAlign w:val="center"/>
          </w:tcPr>
          <w:p w14:paraId="08B30F50">
            <w:pPr>
              <w:keepNext w:val="0"/>
              <w:keepLines w:val="0"/>
              <w:pageBreakBefore w:val="0"/>
              <w:widowControl w:val="0"/>
              <w:kinsoku/>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w:t>
            </w:r>
          </w:p>
        </w:tc>
        <w:tc>
          <w:tcPr>
            <w:tcW w:w="1540" w:type="dxa"/>
            <w:shd w:val="clear" w:color="auto" w:fill="auto"/>
            <w:vAlign w:val="center"/>
          </w:tcPr>
          <w:p w14:paraId="666EABED">
            <w:pPr>
              <w:keepNext w:val="0"/>
              <w:keepLines w:val="0"/>
              <w:pageBreakBefore w:val="0"/>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商务条款响应</w:t>
            </w:r>
          </w:p>
        </w:tc>
        <w:tc>
          <w:tcPr>
            <w:tcW w:w="5135" w:type="dxa"/>
            <w:shd w:val="clear" w:color="auto" w:fill="auto"/>
            <w:vAlign w:val="center"/>
          </w:tcPr>
          <w:p w14:paraId="2CEABD59">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优于或满足招标文件</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商务条款要求的得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分，每有</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项出现负偏离的扣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分，扣完为止。</w:t>
            </w:r>
          </w:p>
        </w:tc>
        <w:tc>
          <w:tcPr>
            <w:tcW w:w="1107" w:type="dxa"/>
            <w:shd w:val="clear" w:color="auto" w:fill="auto"/>
            <w:vAlign w:val="center"/>
          </w:tcPr>
          <w:p w14:paraId="439BC51D">
            <w:pPr>
              <w:keepNext w:val="0"/>
              <w:keepLines w:val="0"/>
              <w:pageBreakBefore w:val="0"/>
              <w:widowControl/>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r>
      <w:tr w14:paraId="024B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311" w:type="dxa"/>
            <w:vMerge w:val="continue"/>
          </w:tcPr>
          <w:p w14:paraId="15A1B221">
            <w:pPr>
              <w:keepNext w:val="0"/>
              <w:keepLines w:val="0"/>
              <w:pageBreakBefore w:val="0"/>
              <w:widowControl w:val="0"/>
              <w:kinsoku/>
              <w:overflowPunct/>
              <w:topLinePunct w:val="0"/>
              <w:autoSpaceDE/>
              <w:autoSpaceDN/>
              <w:bidi w:val="0"/>
              <w:spacing w:line="440" w:lineRule="exact"/>
              <w:jc w:val="both"/>
              <w:rPr>
                <w:rFonts w:hint="eastAsia" w:ascii="宋体" w:hAnsi="宋体" w:eastAsia="宋体" w:cs="宋体"/>
                <w:color w:val="auto"/>
                <w:sz w:val="21"/>
                <w:szCs w:val="21"/>
                <w:highlight w:val="none"/>
              </w:rPr>
            </w:pPr>
          </w:p>
        </w:tc>
        <w:tc>
          <w:tcPr>
            <w:tcW w:w="1540" w:type="dxa"/>
            <w:shd w:val="clear" w:color="auto" w:fill="auto"/>
            <w:vAlign w:val="center"/>
          </w:tcPr>
          <w:p w14:paraId="0A6DF665">
            <w:pPr>
              <w:keepNext w:val="0"/>
              <w:keepLines w:val="0"/>
              <w:pageBreakBefore w:val="0"/>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同类项目业绩</w:t>
            </w:r>
          </w:p>
        </w:tc>
        <w:tc>
          <w:tcPr>
            <w:tcW w:w="5135" w:type="dxa"/>
            <w:shd w:val="clear" w:color="auto" w:fill="auto"/>
            <w:vAlign w:val="center"/>
          </w:tcPr>
          <w:p w14:paraId="12FD87A7">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投标人自20</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年至今具有同类项目业绩的，每提供一份业绩合同得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分，最高</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bCs/>
                <w:color w:val="auto"/>
                <w:sz w:val="21"/>
                <w:szCs w:val="21"/>
                <w:highlight w:val="none"/>
              </w:rPr>
              <w:t>。</w:t>
            </w:r>
          </w:p>
          <w:p w14:paraId="7E5F5A8D">
            <w:pPr>
              <w:keepNext w:val="0"/>
              <w:keepLines w:val="0"/>
              <w:pageBreakBefore w:val="0"/>
              <w:widowControl/>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sz w:val="21"/>
                <w:szCs w:val="21"/>
                <w:highlight w:val="none"/>
              </w:rPr>
              <w:t>注：投标文件里应附业绩合同复印件，否则不得分。</w:t>
            </w:r>
          </w:p>
        </w:tc>
        <w:tc>
          <w:tcPr>
            <w:tcW w:w="1107" w:type="dxa"/>
            <w:shd w:val="clear" w:color="auto" w:fill="auto"/>
            <w:vAlign w:val="center"/>
          </w:tcPr>
          <w:p w14:paraId="6B0EEAF7">
            <w:pPr>
              <w:keepNext w:val="0"/>
              <w:keepLines w:val="0"/>
              <w:pageBreakBefore w:val="0"/>
              <w:widowControl/>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r>
      <w:tr w14:paraId="5352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311" w:type="dxa"/>
            <w:vMerge w:val="continue"/>
          </w:tcPr>
          <w:p w14:paraId="74CE51BB">
            <w:pPr>
              <w:keepNext w:val="0"/>
              <w:keepLines w:val="0"/>
              <w:pageBreakBefore w:val="0"/>
              <w:widowControl w:val="0"/>
              <w:kinsoku/>
              <w:overflowPunct/>
              <w:topLinePunct w:val="0"/>
              <w:autoSpaceDE/>
              <w:autoSpaceDN/>
              <w:bidi w:val="0"/>
              <w:spacing w:line="440" w:lineRule="exact"/>
              <w:jc w:val="both"/>
              <w:rPr>
                <w:rFonts w:hint="eastAsia" w:ascii="宋体" w:hAnsi="宋体" w:eastAsia="宋体" w:cs="宋体"/>
                <w:color w:val="auto"/>
                <w:sz w:val="21"/>
                <w:szCs w:val="21"/>
                <w:highlight w:val="none"/>
              </w:rPr>
            </w:pPr>
          </w:p>
        </w:tc>
        <w:tc>
          <w:tcPr>
            <w:tcW w:w="1540" w:type="dxa"/>
            <w:shd w:val="clear" w:color="auto" w:fill="auto"/>
            <w:vAlign w:val="center"/>
          </w:tcPr>
          <w:p w14:paraId="21773134">
            <w:pPr>
              <w:keepNext w:val="0"/>
              <w:keepLines w:val="0"/>
              <w:pageBreakBefore w:val="0"/>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VI及整体设计方案</w:t>
            </w:r>
          </w:p>
        </w:tc>
        <w:tc>
          <w:tcPr>
            <w:tcW w:w="5135" w:type="dxa"/>
            <w:shd w:val="clear" w:color="auto" w:fill="auto"/>
            <w:vAlign w:val="center"/>
          </w:tcPr>
          <w:p w14:paraId="1C5DC521">
            <w:pPr>
              <w:keepNext w:val="0"/>
              <w:keepLines w:val="0"/>
              <w:pageBreakBefore w:val="0"/>
              <w:numPr>
                <w:ilvl w:val="0"/>
                <w:numId w:val="22"/>
              </w:numPr>
              <w:kinsoku/>
              <w:wordWrap w:val="0"/>
              <w:overflowPunct/>
              <w:topLinePunct w:val="0"/>
              <w:autoSpaceDE/>
              <w:autoSpaceDN/>
              <w:bidi w:val="0"/>
              <w:snapToGrid w:val="0"/>
              <w:spacing w:line="440" w:lineRule="exact"/>
              <w:jc w:val="both"/>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设计方案</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技术路径清晰</w:t>
            </w:r>
            <w:r>
              <w:rPr>
                <w:rFonts w:hint="eastAsia" w:ascii="宋体" w:hAnsi="宋体" w:eastAsia="宋体" w:cs="宋体"/>
                <w:color w:val="auto"/>
                <w:sz w:val="21"/>
                <w:szCs w:val="21"/>
                <w:highlight w:val="none"/>
                <w:lang w:eastAsia="zh-CN"/>
              </w:rPr>
              <w:t>、全面，科学合理，</w:t>
            </w:r>
            <w:r>
              <w:rPr>
                <w:rFonts w:hint="eastAsia" w:ascii="宋体" w:hAnsi="宋体" w:eastAsia="宋体" w:cs="宋体"/>
                <w:color w:val="auto"/>
                <w:sz w:val="21"/>
                <w:szCs w:val="21"/>
                <w:highlight w:val="none"/>
              </w:rPr>
              <w:t>设计理念</w:t>
            </w:r>
            <w:r>
              <w:rPr>
                <w:rFonts w:hint="eastAsia" w:ascii="宋体" w:hAnsi="宋体" w:eastAsia="宋体" w:cs="宋体"/>
                <w:color w:val="auto"/>
                <w:sz w:val="21"/>
                <w:szCs w:val="21"/>
                <w:highlight w:val="none"/>
                <w:lang w:eastAsia="zh-CN"/>
              </w:rPr>
              <w:t>独特且有创新性，</w:t>
            </w:r>
            <w:r>
              <w:rPr>
                <w:rFonts w:hint="eastAsia" w:ascii="宋体" w:hAnsi="宋体" w:eastAsia="宋体" w:cs="宋体"/>
                <w:color w:val="auto"/>
                <w:sz w:val="21"/>
                <w:szCs w:val="21"/>
                <w:highlight w:val="none"/>
              </w:rPr>
              <w:t>设计元素与</w:t>
            </w:r>
            <w:r>
              <w:rPr>
                <w:rFonts w:hint="eastAsia" w:ascii="宋体" w:hAnsi="宋体" w:eastAsia="宋体" w:cs="宋体"/>
                <w:color w:val="auto"/>
                <w:sz w:val="21"/>
                <w:szCs w:val="21"/>
                <w:highlight w:val="none"/>
                <w:lang w:eastAsia="zh-CN"/>
              </w:rPr>
              <w:t>餐厅特色及理念</w:t>
            </w:r>
            <w:r>
              <w:rPr>
                <w:rFonts w:hint="eastAsia" w:ascii="宋体" w:hAnsi="宋体" w:eastAsia="宋体" w:cs="宋体"/>
                <w:color w:val="auto"/>
                <w:sz w:val="21"/>
                <w:szCs w:val="21"/>
                <w:highlight w:val="none"/>
              </w:rPr>
              <w:t>高度契合</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lang w:val="en-US" w:eastAsia="zh-CN"/>
              </w:rPr>
              <w:t>得20分</w:t>
            </w:r>
            <w:r>
              <w:rPr>
                <w:rFonts w:hint="eastAsia" w:ascii="宋体" w:hAnsi="宋体" w:cs="宋体"/>
                <w:color w:val="auto"/>
                <w:sz w:val="21"/>
                <w:szCs w:val="21"/>
                <w:highlight w:val="none"/>
                <w:lang w:val="en-US" w:eastAsia="zh-CN"/>
              </w:rPr>
              <w:t>。</w:t>
            </w:r>
          </w:p>
          <w:p w14:paraId="10241DA9">
            <w:pPr>
              <w:keepNext w:val="0"/>
              <w:keepLines w:val="0"/>
              <w:pageBreakBefore w:val="0"/>
              <w:numPr>
                <w:ilvl w:val="0"/>
                <w:numId w:val="22"/>
              </w:numPr>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设计方案</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技术路径清晰</w:t>
            </w:r>
            <w:r>
              <w:rPr>
                <w:rFonts w:hint="eastAsia" w:ascii="宋体" w:hAnsi="宋体" w:eastAsia="宋体" w:cs="宋体"/>
                <w:color w:val="auto"/>
                <w:sz w:val="21"/>
                <w:szCs w:val="21"/>
                <w:highlight w:val="none"/>
                <w:lang w:eastAsia="zh-CN"/>
              </w:rPr>
              <w:t>、较为全面，可操作性强，</w:t>
            </w:r>
            <w:r>
              <w:rPr>
                <w:rFonts w:hint="eastAsia" w:ascii="宋体" w:hAnsi="宋体" w:eastAsia="宋体" w:cs="宋体"/>
                <w:color w:val="auto"/>
                <w:sz w:val="21"/>
                <w:szCs w:val="21"/>
                <w:highlight w:val="none"/>
              </w:rPr>
              <w:t>设计理念</w:t>
            </w:r>
            <w:r>
              <w:rPr>
                <w:rFonts w:hint="eastAsia" w:ascii="宋体" w:hAnsi="宋体" w:eastAsia="宋体" w:cs="宋体"/>
                <w:color w:val="auto"/>
                <w:sz w:val="21"/>
                <w:szCs w:val="21"/>
                <w:highlight w:val="none"/>
                <w:lang w:eastAsia="zh-CN"/>
              </w:rPr>
              <w:t>符合市场主流，</w:t>
            </w:r>
            <w:r>
              <w:rPr>
                <w:rFonts w:hint="eastAsia" w:ascii="宋体" w:hAnsi="宋体" w:eastAsia="宋体" w:cs="宋体"/>
                <w:color w:val="auto"/>
                <w:sz w:val="21"/>
                <w:szCs w:val="21"/>
                <w:highlight w:val="none"/>
              </w:rPr>
              <w:t>设计元素与</w:t>
            </w:r>
            <w:r>
              <w:rPr>
                <w:rFonts w:hint="eastAsia" w:ascii="宋体" w:hAnsi="宋体" w:eastAsia="宋体" w:cs="宋体"/>
                <w:color w:val="auto"/>
                <w:sz w:val="21"/>
                <w:szCs w:val="21"/>
                <w:highlight w:val="none"/>
                <w:lang w:eastAsia="zh-CN"/>
              </w:rPr>
              <w:t>餐厅特色及理念相符合，</w:t>
            </w:r>
            <w:r>
              <w:rPr>
                <w:rFonts w:hint="eastAsia" w:ascii="宋体" w:hAnsi="宋体" w:eastAsia="宋体" w:cs="宋体"/>
                <w:color w:val="auto"/>
                <w:sz w:val="21"/>
                <w:szCs w:val="21"/>
                <w:highlight w:val="none"/>
                <w:lang w:val="en-US" w:eastAsia="zh-CN"/>
              </w:rPr>
              <w:t>得15分。</w:t>
            </w:r>
          </w:p>
          <w:p w14:paraId="79F06D4D">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设计方案</w:t>
            </w:r>
            <w:r>
              <w:rPr>
                <w:rFonts w:hint="eastAsia" w:ascii="宋体" w:hAnsi="宋体" w:eastAsia="宋体" w:cs="宋体"/>
                <w:color w:val="auto"/>
                <w:sz w:val="21"/>
                <w:szCs w:val="21"/>
                <w:highlight w:val="none"/>
                <w:lang w:eastAsia="zh-CN"/>
              </w:rPr>
              <w:t>的有</w:t>
            </w:r>
            <w:r>
              <w:rPr>
                <w:rFonts w:hint="eastAsia" w:ascii="宋体" w:hAnsi="宋体" w:eastAsia="宋体" w:cs="宋体"/>
                <w:color w:val="auto"/>
                <w:sz w:val="21"/>
                <w:szCs w:val="21"/>
                <w:highlight w:val="none"/>
              </w:rPr>
              <w:t>技术路径</w:t>
            </w:r>
            <w:r>
              <w:rPr>
                <w:rFonts w:hint="eastAsia" w:ascii="宋体" w:hAnsi="宋体" w:eastAsia="宋体" w:cs="宋体"/>
                <w:color w:val="auto"/>
                <w:sz w:val="21"/>
                <w:szCs w:val="21"/>
                <w:highlight w:val="none"/>
                <w:lang w:eastAsia="zh-CN"/>
              </w:rPr>
              <w:t>但不够全面，操作性一般，无明确的</w:t>
            </w:r>
            <w:r>
              <w:rPr>
                <w:rFonts w:hint="eastAsia" w:ascii="宋体" w:hAnsi="宋体" w:eastAsia="宋体" w:cs="宋体"/>
                <w:color w:val="auto"/>
                <w:sz w:val="21"/>
                <w:szCs w:val="21"/>
                <w:highlight w:val="none"/>
              </w:rPr>
              <w:t>设计理念</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设计元素与</w:t>
            </w:r>
            <w:r>
              <w:rPr>
                <w:rFonts w:hint="eastAsia" w:ascii="宋体" w:hAnsi="宋体" w:eastAsia="宋体" w:cs="宋体"/>
                <w:color w:val="auto"/>
                <w:sz w:val="21"/>
                <w:szCs w:val="21"/>
                <w:highlight w:val="none"/>
                <w:lang w:eastAsia="zh-CN"/>
              </w:rPr>
              <w:t>餐厅特色及理念基本符合，</w:t>
            </w:r>
            <w:r>
              <w:rPr>
                <w:rFonts w:hint="eastAsia" w:ascii="宋体" w:hAnsi="宋体" w:eastAsia="宋体" w:cs="宋体"/>
                <w:color w:val="auto"/>
                <w:sz w:val="21"/>
                <w:szCs w:val="21"/>
                <w:highlight w:val="none"/>
                <w:lang w:val="en-US" w:eastAsia="zh-CN"/>
              </w:rPr>
              <w:t>得10分。</w:t>
            </w:r>
          </w:p>
          <w:p w14:paraId="065FC8CD">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设计方案</w:t>
            </w:r>
            <w:r>
              <w:rPr>
                <w:rFonts w:hint="eastAsia" w:ascii="宋体" w:hAnsi="宋体" w:eastAsia="宋体" w:cs="宋体"/>
                <w:color w:val="auto"/>
                <w:sz w:val="21"/>
                <w:szCs w:val="21"/>
                <w:highlight w:val="none"/>
                <w:lang w:eastAsia="zh-CN"/>
              </w:rPr>
              <w:t>的无明确的</w:t>
            </w:r>
            <w:r>
              <w:rPr>
                <w:rFonts w:hint="eastAsia" w:ascii="宋体" w:hAnsi="宋体" w:eastAsia="宋体" w:cs="宋体"/>
                <w:color w:val="auto"/>
                <w:sz w:val="21"/>
                <w:szCs w:val="21"/>
                <w:highlight w:val="none"/>
              </w:rPr>
              <w:t>技术路径</w:t>
            </w:r>
            <w:r>
              <w:rPr>
                <w:rFonts w:hint="eastAsia" w:ascii="宋体" w:hAnsi="宋体" w:eastAsia="宋体" w:cs="宋体"/>
                <w:color w:val="auto"/>
                <w:sz w:val="21"/>
                <w:szCs w:val="21"/>
                <w:highlight w:val="none"/>
                <w:lang w:eastAsia="zh-CN"/>
              </w:rPr>
              <w:t>且不全面，可操作性差，无</w:t>
            </w:r>
            <w:r>
              <w:rPr>
                <w:rFonts w:hint="eastAsia" w:ascii="宋体" w:hAnsi="宋体" w:eastAsia="宋体" w:cs="宋体"/>
                <w:color w:val="auto"/>
                <w:sz w:val="21"/>
                <w:szCs w:val="21"/>
                <w:highlight w:val="none"/>
              </w:rPr>
              <w:t>设计理念</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设计元素与</w:t>
            </w:r>
            <w:r>
              <w:rPr>
                <w:rFonts w:hint="eastAsia" w:ascii="宋体" w:hAnsi="宋体" w:eastAsia="宋体" w:cs="宋体"/>
                <w:color w:val="auto"/>
                <w:sz w:val="21"/>
                <w:szCs w:val="21"/>
                <w:highlight w:val="none"/>
                <w:lang w:eastAsia="zh-CN"/>
              </w:rPr>
              <w:t>餐厅特色及理念不符合，</w:t>
            </w:r>
            <w:r>
              <w:rPr>
                <w:rFonts w:hint="eastAsia" w:ascii="宋体" w:hAnsi="宋体" w:eastAsia="宋体" w:cs="宋体"/>
                <w:color w:val="auto"/>
                <w:sz w:val="21"/>
                <w:szCs w:val="21"/>
                <w:highlight w:val="none"/>
                <w:lang w:val="en-US" w:eastAsia="zh-CN"/>
              </w:rPr>
              <w:t>得5分。</w:t>
            </w:r>
          </w:p>
          <w:p w14:paraId="6956CCAB">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5.未提供方案不得分。</w:t>
            </w:r>
          </w:p>
        </w:tc>
        <w:tc>
          <w:tcPr>
            <w:tcW w:w="1107" w:type="dxa"/>
            <w:shd w:val="clear" w:color="auto" w:fill="auto"/>
            <w:vAlign w:val="center"/>
          </w:tcPr>
          <w:p w14:paraId="35CC7117">
            <w:pPr>
              <w:keepNext w:val="0"/>
              <w:keepLines w:val="0"/>
              <w:pageBreakBefore w:val="0"/>
              <w:widowControl/>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20</w:t>
            </w:r>
          </w:p>
        </w:tc>
      </w:tr>
      <w:tr w14:paraId="1606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311" w:type="dxa"/>
            <w:vMerge w:val="continue"/>
          </w:tcPr>
          <w:p w14:paraId="67F1314A">
            <w:pPr>
              <w:keepNext w:val="0"/>
              <w:keepLines w:val="0"/>
              <w:pageBreakBefore w:val="0"/>
              <w:widowControl w:val="0"/>
              <w:kinsoku/>
              <w:overflowPunct/>
              <w:topLinePunct w:val="0"/>
              <w:autoSpaceDE/>
              <w:autoSpaceDN/>
              <w:bidi w:val="0"/>
              <w:spacing w:line="440" w:lineRule="exact"/>
              <w:jc w:val="both"/>
              <w:rPr>
                <w:rFonts w:hint="eastAsia" w:ascii="宋体" w:hAnsi="宋体" w:eastAsia="宋体" w:cs="宋体"/>
                <w:color w:val="auto"/>
                <w:sz w:val="21"/>
                <w:szCs w:val="21"/>
                <w:highlight w:val="none"/>
              </w:rPr>
            </w:pPr>
          </w:p>
        </w:tc>
        <w:tc>
          <w:tcPr>
            <w:tcW w:w="1540" w:type="dxa"/>
            <w:shd w:val="clear" w:color="auto" w:fill="auto"/>
            <w:vAlign w:val="center"/>
          </w:tcPr>
          <w:p w14:paraId="4B6B5C32">
            <w:pPr>
              <w:keepNext w:val="0"/>
              <w:keepLines w:val="0"/>
              <w:pageBreakBefore w:val="0"/>
              <w:widowControl/>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现场述标</w:t>
            </w:r>
          </w:p>
        </w:tc>
        <w:tc>
          <w:tcPr>
            <w:tcW w:w="5135" w:type="dxa"/>
            <w:shd w:val="clear" w:color="auto" w:fill="auto"/>
            <w:vAlign w:val="center"/>
          </w:tcPr>
          <w:p w14:paraId="701903F2">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投标人委派人员到评标现场述标，配合ppt展示，时间不超过10分钟。述标内容包含不限于设计理念、主题思路、设计元素、特色等内容。 </w:t>
            </w:r>
          </w:p>
          <w:p w14:paraId="5C327C42">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1.投标人能围绕设计的策划方案进行充分阐述，讲解思路清晰，内容详细、生动、流畅，完全满足采购需求，得10分； </w:t>
            </w:r>
          </w:p>
          <w:p w14:paraId="4FF1813F">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2.投标人能围绕设计方案进行基本阐述，讲解内容基本完整，得7分； </w:t>
            </w:r>
          </w:p>
          <w:p w14:paraId="0FE5CED5">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3.投标人能基本结合设计方案进行介绍，讲解过程不流畅，内容不完整，得4分； </w:t>
            </w:r>
          </w:p>
          <w:p w14:paraId="2D291B3A">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4.投标人未能结合设计方案进行介绍，讲解内容不完整，得1分； </w:t>
            </w:r>
          </w:p>
          <w:p w14:paraId="1784B7D7">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5.没有派出讲解人员进行现场述标的，得0分。 </w:t>
            </w:r>
          </w:p>
          <w:p w14:paraId="4013571C">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【注：1.采购代理机构只提供投影设备（不提供技术支持），电脑等与讲解有关的设备由投标人自行准备、自行考虑并解决自带设备与评审现场设备的兼容性。】</w:t>
            </w:r>
          </w:p>
        </w:tc>
        <w:tc>
          <w:tcPr>
            <w:tcW w:w="1107" w:type="dxa"/>
            <w:shd w:val="clear" w:color="auto" w:fill="auto"/>
            <w:vAlign w:val="center"/>
          </w:tcPr>
          <w:p w14:paraId="78F30BFD">
            <w:pPr>
              <w:keepNext w:val="0"/>
              <w:keepLines w:val="0"/>
              <w:pageBreakBefore w:val="0"/>
              <w:widowControl/>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20</w:t>
            </w:r>
          </w:p>
        </w:tc>
      </w:tr>
      <w:tr w14:paraId="58A1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311" w:type="dxa"/>
            <w:vMerge w:val="continue"/>
          </w:tcPr>
          <w:p w14:paraId="5711D639">
            <w:pPr>
              <w:keepNext w:val="0"/>
              <w:keepLines w:val="0"/>
              <w:pageBreakBefore w:val="0"/>
              <w:widowControl w:val="0"/>
              <w:kinsoku/>
              <w:overflowPunct/>
              <w:topLinePunct w:val="0"/>
              <w:autoSpaceDE/>
              <w:autoSpaceDN/>
              <w:bidi w:val="0"/>
              <w:spacing w:line="440" w:lineRule="exact"/>
              <w:jc w:val="both"/>
              <w:rPr>
                <w:rFonts w:hint="eastAsia" w:ascii="宋体" w:hAnsi="宋体" w:eastAsia="宋体" w:cs="宋体"/>
                <w:color w:val="auto"/>
                <w:sz w:val="21"/>
                <w:szCs w:val="21"/>
                <w:highlight w:val="none"/>
              </w:rPr>
            </w:pPr>
          </w:p>
        </w:tc>
        <w:tc>
          <w:tcPr>
            <w:tcW w:w="1540" w:type="dxa"/>
            <w:shd w:val="clear" w:color="auto" w:fill="auto"/>
            <w:vAlign w:val="center"/>
          </w:tcPr>
          <w:p w14:paraId="54E07C66">
            <w:pPr>
              <w:keepNext w:val="0"/>
              <w:keepLines w:val="0"/>
              <w:pageBreakBefore w:val="0"/>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施工组织方案</w:t>
            </w:r>
          </w:p>
        </w:tc>
        <w:tc>
          <w:tcPr>
            <w:tcW w:w="5135" w:type="dxa"/>
            <w:shd w:val="clear" w:color="auto" w:fill="auto"/>
            <w:vAlign w:val="center"/>
          </w:tcPr>
          <w:p w14:paraId="4D20233E">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的施工组织方案（包含：安装调试、现场施工实施方案、验收标准、进度控制措施、质量控制措施、安全防护措施）进行综合评价：</w:t>
            </w:r>
          </w:p>
          <w:p w14:paraId="1EA5F1B7">
            <w:pPr>
              <w:keepNext w:val="0"/>
              <w:keepLines w:val="0"/>
              <w:pageBreakBefore w:val="0"/>
              <w:widowControl/>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对项目总体有完全了解，项目施工组织方案表述清晰、全面、有效，完全能满足</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的要求；计划安排、进度控制安排充分、具体、合理，可行性高；在施工计划及措施方面有重点。得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572DB5A8">
            <w:pPr>
              <w:keepNext w:val="0"/>
              <w:keepLines w:val="0"/>
              <w:pageBreakBefore w:val="0"/>
              <w:widowControl/>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对项目总体有深刻认识，项目施工组织方案表述清晰、全面、有效，基本满足</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的要求；计划安排、进度控制安排较为充分、具体、合理，可行性较高；在施工计划及措施方面有涉及到。得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w:t>
            </w:r>
          </w:p>
          <w:p w14:paraId="49078764">
            <w:pPr>
              <w:keepNext w:val="0"/>
              <w:keepLines w:val="0"/>
              <w:pageBreakBefore w:val="0"/>
              <w:widowControl/>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对项目总体有一定认识，项目施工组织方案表述对</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出现不利条件，计划安排、进度控制安排不够充分、合理，可行性一般；在施工计划及措施方面不充分。得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7BE425FC">
            <w:pPr>
              <w:keepNext w:val="0"/>
              <w:keepLines w:val="0"/>
              <w:pageBreakBefore w:val="0"/>
              <w:widowControl/>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方案不具体或方案未提及相关内容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得1分。</w:t>
            </w:r>
          </w:p>
          <w:p w14:paraId="408AD154">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snapToGrid w:val="0"/>
                <w:color w:val="auto"/>
                <w:sz w:val="21"/>
                <w:szCs w:val="21"/>
                <w:highlight w:val="none"/>
                <w:lang w:val="en-US" w:eastAsia="zh-CN"/>
              </w:rPr>
              <w:t>未提供方案不得分。</w:t>
            </w:r>
          </w:p>
        </w:tc>
        <w:tc>
          <w:tcPr>
            <w:tcW w:w="1107" w:type="dxa"/>
            <w:shd w:val="clear" w:color="auto" w:fill="auto"/>
            <w:vAlign w:val="center"/>
          </w:tcPr>
          <w:p w14:paraId="73ACD3C0">
            <w:pPr>
              <w:keepNext w:val="0"/>
              <w:keepLines w:val="0"/>
              <w:pageBreakBefore w:val="0"/>
              <w:widowControl/>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r>
      <w:tr w14:paraId="19A3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311" w:type="dxa"/>
            <w:vMerge w:val="continue"/>
          </w:tcPr>
          <w:p w14:paraId="50761D72">
            <w:pPr>
              <w:keepNext w:val="0"/>
              <w:keepLines w:val="0"/>
              <w:pageBreakBefore w:val="0"/>
              <w:widowControl w:val="0"/>
              <w:kinsoku/>
              <w:overflowPunct/>
              <w:topLinePunct w:val="0"/>
              <w:autoSpaceDE/>
              <w:autoSpaceDN/>
              <w:bidi w:val="0"/>
              <w:spacing w:line="440" w:lineRule="exact"/>
              <w:jc w:val="both"/>
              <w:rPr>
                <w:rFonts w:hint="eastAsia" w:ascii="宋体" w:hAnsi="宋体" w:eastAsia="宋体" w:cs="宋体"/>
                <w:color w:val="auto"/>
                <w:sz w:val="21"/>
                <w:szCs w:val="21"/>
                <w:highlight w:val="none"/>
              </w:rPr>
            </w:pPr>
          </w:p>
        </w:tc>
        <w:tc>
          <w:tcPr>
            <w:tcW w:w="1540" w:type="dxa"/>
            <w:shd w:val="clear" w:color="auto" w:fill="auto"/>
            <w:vAlign w:val="center"/>
          </w:tcPr>
          <w:p w14:paraId="36128A85">
            <w:pPr>
              <w:keepNext w:val="0"/>
              <w:keepLines w:val="0"/>
              <w:pageBreakBefore w:val="0"/>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rPr>
              <w:t>保障措施</w:t>
            </w:r>
          </w:p>
        </w:tc>
        <w:tc>
          <w:tcPr>
            <w:tcW w:w="5135" w:type="dxa"/>
            <w:shd w:val="clear" w:color="auto" w:fill="auto"/>
            <w:vAlign w:val="center"/>
          </w:tcPr>
          <w:p w14:paraId="3312C071">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rPr>
              <w:t>保障措施</w:t>
            </w:r>
            <w:r>
              <w:rPr>
                <w:rFonts w:hint="eastAsia" w:ascii="宋体" w:hAnsi="宋体" w:eastAsia="宋体" w:cs="宋体"/>
                <w:color w:val="auto"/>
                <w:sz w:val="21"/>
                <w:szCs w:val="21"/>
                <w:highlight w:val="none"/>
                <w:lang w:val="en-US" w:eastAsia="zh-CN"/>
              </w:rPr>
              <w:t>和承诺进行评价</w:t>
            </w:r>
          </w:p>
          <w:p w14:paraId="41F07FAE">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表示工期保障措施全面、具体、可操作性强，能够有效地预防和应对各种可能影响工期的因素，确保工程按时甚至提前完成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得5分。</w:t>
            </w:r>
          </w:p>
          <w:p w14:paraId="3DE88160">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表示工期保障措施较为完善，涵盖了大部分关键方面，但在细节和执行力上可能存在一定不足，但仍能在大多数情况下保证工期的顺利完成。</w:t>
            </w:r>
            <w:r>
              <w:rPr>
                <w:rFonts w:hint="eastAsia" w:ascii="宋体" w:hAnsi="宋体" w:eastAsia="宋体" w:cs="宋体"/>
                <w:color w:val="auto"/>
                <w:sz w:val="21"/>
                <w:szCs w:val="21"/>
                <w:highlight w:val="none"/>
                <w:lang w:val="en-US" w:eastAsia="zh-CN"/>
              </w:rPr>
              <w:t>得3分。</w:t>
            </w:r>
          </w:p>
          <w:p w14:paraId="2DB15CC3">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表示工期保障措施非常不完善，缺乏系统性和针对性，无法对工期起到实质性的保障作用，可能会导致工程延期或其他不利后果</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得1分。</w:t>
            </w:r>
          </w:p>
          <w:p w14:paraId="10D88A7D">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snapToGrid w:val="0"/>
                <w:color w:val="auto"/>
                <w:sz w:val="21"/>
                <w:szCs w:val="21"/>
                <w:highlight w:val="none"/>
                <w:lang w:val="en-US" w:eastAsia="zh-CN"/>
              </w:rPr>
              <w:t>未提供方案不得分。</w:t>
            </w:r>
          </w:p>
        </w:tc>
        <w:tc>
          <w:tcPr>
            <w:tcW w:w="1107" w:type="dxa"/>
            <w:shd w:val="clear" w:color="auto" w:fill="auto"/>
            <w:vAlign w:val="center"/>
          </w:tcPr>
          <w:p w14:paraId="293C815F">
            <w:pPr>
              <w:keepNext w:val="0"/>
              <w:keepLines w:val="0"/>
              <w:pageBreakBefore w:val="0"/>
              <w:widowControl/>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r>
      <w:tr w14:paraId="3731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311" w:type="dxa"/>
            <w:vMerge w:val="continue"/>
          </w:tcPr>
          <w:p w14:paraId="7E07FE48">
            <w:pPr>
              <w:keepNext w:val="0"/>
              <w:keepLines w:val="0"/>
              <w:pageBreakBefore w:val="0"/>
              <w:widowControl w:val="0"/>
              <w:kinsoku/>
              <w:overflowPunct/>
              <w:topLinePunct w:val="0"/>
              <w:autoSpaceDE/>
              <w:autoSpaceDN/>
              <w:bidi w:val="0"/>
              <w:spacing w:line="440" w:lineRule="exact"/>
              <w:jc w:val="both"/>
              <w:rPr>
                <w:rFonts w:hint="eastAsia" w:ascii="宋体" w:hAnsi="宋体" w:eastAsia="宋体" w:cs="宋体"/>
                <w:color w:val="auto"/>
                <w:sz w:val="21"/>
                <w:szCs w:val="21"/>
                <w:highlight w:val="none"/>
              </w:rPr>
            </w:pPr>
          </w:p>
        </w:tc>
        <w:tc>
          <w:tcPr>
            <w:tcW w:w="1540" w:type="dxa"/>
            <w:shd w:val="clear" w:color="auto" w:fill="auto"/>
            <w:vAlign w:val="center"/>
          </w:tcPr>
          <w:p w14:paraId="5869364A">
            <w:pPr>
              <w:keepNext w:val="0"/>
              <w:keepLines w:val="0"/>
              <w:pageBreakBefore w:val="0"/>
              <w:widowControl/>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售后服务方案</w:t>
            </w:r>
          </w:p>
        </w:tc>
        <w:tc>
          <w:tcPr>
            <w:tcW w:w="5135" w:type="dxa"/>
            <w:shd w:val="clear" w:color="auto" w:fill="auto"/>
            <w:vAlign w:val="center"/>
          </w:tcPr>
          <w:p w14:paraId="2D7EC2E5">
            <w:pPr>
              <w:keepNext w:val="0"/>
              <w:keepLines w:val="0"/>
              <w:pageBreakBefore w:val="0"/>
              <w:kinsoku/>
              <w:wordWrap w:val="0"/>
              <w:overflowPunct/>
              <w:topLinePunct w:val="0"/>
              <w:autoSpaceDE/>
              <w:autoSpaceDN/>
              <w:bidi w:val="0"/>
              <w:adjustRightInd w:val="0"/>
              <w:snapToGrid w:val="0"/>
              <w:spacing w:line="4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的售后服务团队、服务响应时效等方面综合评价：</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团队人员配置覆盖所有服务区域，且定期开展专业技术培训；建立明确的岗位职责和应急支援机制，服务流程标准化且透明。提供7×24小时服务热线，30分钟内响应，常规问题2小时内解决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得10分。</w:t>
            </w:r>
          </w:p>
          <w:p w14:paraId="6F1FE530">
            <w:pPr>
              <w:keepNext w:val="0"/>
              <w:keepLines w:val="0"/>
              <w:pageBreakBefore w:val="0"/>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团队</w:t>
            </w:r>
            <w:r>
              <w:rPr>
                <w:rFonts w:hint="eastAsia" w:ascii="宋体" w:hAnsi="宋体" w:eastAsia="宋体" w:cs="宋体"/>
                <w:color w:val="auto"/>
                <w:sz w:val="21"/>
                <w:szCs w:val="21"/>
                <w:highlight w:val="none"/>
                <w:lang w:val="en-US" w:eastAsia="zh-CN"/>
              </w:rPr>
              <w:t>人员</w:t>
            </w:r>
            <w:r>
              <w:rPr>
                <w:rFonts w:hint="eastAsia" w:ascii="宋体" w:hAnsi="宋体" w:eastAsia="宋体" w:cs="宋体"/>
                <w:color w:val="auto"/>
                <w:sz w:val="21"/>
                <w:szCs w:val="21"/>
                <w:highlight w:val="none"/>
              </w:rPr>
              <w:t>区域覆盖率达80%以上，</w:t>
            </w:r>
            <w:r>
              <w:rPr>
                <w:rFonts w:hint="eastAsia" w:ascii="宋体" w:hAnsi="宋体" w:eastAsia="宋体" w:cs="宋体"/>
                <w:color w:val="auto"/>
                <w:sz w:val="21"/>
                <w:szCs w:val="21"/>
                <w:highlight w:val="none"/>
                <w:lang w:val="en-US" w:eastAsia="zh-CN"/>
              </w:rPr>
              <w:t>具有</w:t>
            </w:r>
            <w:r>
              <w:rPr>
                <w:rFonts w:hint="eastAsia" w:ascii="宋体" w:hAnsi="宋体" w:eastAsia="宋体" w:cs="宋体"/>
                <w:color w:val="auto"/>
                <w:sz w:val="21"/>
                <w:szCs w:val="21"/>
                <w:highlight w:val="none"/>
              </w:rPr>
              <w:t>技能培训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岗位分工明确，但应急机制灵活性稍显不足。提供7×24小时服务热线，</w:t>
            </w:r>
            <w:r>
              <w:rPr>
                <w:rFonts w:hint="eastAsia" w:ascii="宋体" w:hAnsi="宋体" w:eastAsia="宋体" w:cs="宋体"/>
                <w:color w:val="auto"/>
                <w:sz w:val="21"/>
                <w:szCs w:val="21"/>
                <w:highlight w:val="none"/>
                <w:lang w:val="en-US" w:eastAsia="zh-CN"/>
              </w:rPr>
              <w:t>1小时</w:t>
            </w:r>
            <w:r>
              <w:rPr>
                <w:rFonts w:hint="eastAsia" w:ascii="宋体" w:hAnsi="宋体" w:eastAsia="宋体" w:cs="宋体"/>
                <w:color w:val="auto"/>
                <w:sz w:val="21"/>
                <w:szCs w:val="21"/>
                <w:highlight w:val="none"/>
              </w:rPr>
              <w:t>内响应，常规问题</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小时内解决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得7分。</w:t>
            </w:r>
          </w:p>
          <w:p w14:paraId="08B49A31">
            <w:pPr>
              <w:keepNext w:val="0"/>
              <w:keepLines w:val="0"/>
              <w:pageBreakBefore w:val="0"/>
              <w:kinsoku/>
              <w:wordWrap w:val="0"/>
              <w:overflowPunct/>
              <w:topLinePunct w:val="0"/>
              <w:autoSpaceDE/>
              <w:autoSpaceDN/>
              <w:bidi w:val="0"/>
              <w:adjustRightInd w:val="0"/>
              <w:snapToGrid w:val="0"/>
              <w:spacing w:line="440" w:lineRule="exact"/>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团队</w:t>
            </w:r>
            <w:r>
              <w:rPr>
                <w:rFonts w:hint="eastAsia" w:ascii="宋体" w:hAnsi="宋体" w:eastAsia="宋体" w:cs="宋体"/>
                <w:color w:val="auto"/>
                <w:sz w:val="21"/>
                <w:szCs w:val="21"/>
                <w:highlight w:val="none"/>
                <w:lang w:val="en-US" w:eastAsia="zh-CN"/>
              </w:rPr>
              <w:t>人员</w:t>
            </w:r>
            <w:r>
              <w:rPr>
                <w:rFonts w:hint="eastAsia" w:ascii="宋体" w:hAnsi="宋体" w:eastAsia="宋体" w:cs="宋体"/>
                <w:color w:val="auto"/>
                <w:sz w:val="21"/>
                <w:szCs w:val="21"/>
                <w:highlight w:val="none"/>
              </w:rPr>
              <w:t>区域覆盖率低于60%，缺乏系统培训记录；岗位职责模糊，服务流程存在明显漏洞。提供7×24小时服务热线，</w:t>
            </w:r>
            <w:r>
              <w:rPr>
                <w:rFonts w:hint="eastAsia" w:ascii="宋体" w:hAnsi="宋体" w:eastAsia="宋体" w:cs="宋体"/>
                <w:color w:val="auto"/>
                <w:sz w:val="21"/>
                <w:szCs w:val="21"/>
                <w:highlight w:val="none"/>
                <w:lang w:val="en-US" w:eastAsia="zh-CN"/>
              </w:rPr>
              <w:t>2小时</w:t>
            </w:r>
            <w:r>
              <w:rPr>
                <w:rFonts w:hint="eastAsia" w:ascii="宋体" w:hAnsi="宋体" w:eastAsia="宋体" w:cs="宋体"/>
                <w:color w:val="auto"/>
                <w:sz w:val="21"/>
                <w:szCs w:val="21"/>
                <w:highlight w:val="none"/>
              </w:rPr>
              <w:t>内响应，常规问题</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小时内解决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得4分。</w:t>
            </w:r>
          </w:p>
          <w:p w14:paraId="762DC3EC">
            <w:pPr>
              <w:keepNext w:val="0"/>
              <w:keepLines w:val="0"/>
              <w:pageBreakBefore w:val="0"/>
              <w:kinsoku/>
              <w:wordWrap w:val="0"/>
              <w:overflowPunct/>
              <w:topLinePunct w:val="0"/>
              <w:autoSpaceDE/>
              <w:autoSpaceDN/>
              <w:bidi w:val="0"/>
              <w:adjustRightInd w:val="0"/>
              <w:snapToGrid w:val="0"/>
              <w:spacing w:line="440" w:lineRule="exact"/>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团队</w:t>
            </w:r>
            <w:r>
              <w:rPr>
                <w:rFonts w:hint="eastAsia" w:ascii="宋体" w:hAnsi="宋体" w:eastAsia="宋体" w:cs="宋体"/>
                <w:color w:val="auto"/>
                <w:sz w:val="21"/>
                <w:szCs w:val="21"/>
                <w:highlight w:val="none"/>
                <w:lang w:val="en-US" w:eastAsia="zh-CN"/>
              </w:rPr>
              <w:t>人员</w:t>
            </w:r>
            <w:r>
              <w:rPr>
                <w:rFonts w:hint="eastAsia" w:ascii="宋体" w:hAnsi="宋体" w:eastAsia="宋体" w:cs="宋体"/>
                <w:color w:val="auto"/>
                <w:sz w:val="21"/>
                <w:szCs w:val="21"/>
                <w:highlight w:val="none"/>
              </w:rPr>
              <w:t>配置严重不足或临时拼凑，无培训记录；服务流程混乱，无明确责任划分。</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rPr>
              <w:t>提供7×24小时服务热线，</w:t>
            </w:r>
            <w:r>
              <w:rPr>
                <w:rFonts w:hint="eastAsia" w:ascii="宋体" w:hAnsi="宋体" w:eastAsia="宋体" w:cs="宋体"/>
                <w:color w:val="auto"/>
                <w:sz w:val="21"/>
                <w:szCs w:val="21"/>
                <w:highlight w:val="none"/>
                <w:lang w:val="en-US" w:eastAsia="zh-CN"/>
              </w:rPr>
              <w:t>4小时</w:t>
            </w:r>
            <w:r>
              <w:rPr>
                <w:rFonts w:hint="eastAsia" w:ascii="宋体" w:hAnsi="宋体" w:eastAsia="宋体" w:cs="宋体"/>
                <w:color w:val="auto"/>
                <w:sz w:val="21"/>
                <w:szCs w:val="21"/>
                <w:highlight w:val="none"/>
              </w:rPr>
              <w:t>内响应，常规问题</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小时内解决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得1分。</w:t>
            </w:r>
          </w:p>
          <w:p w14:paraId="44DBD6F3">
            <w:pPr>
              <w:keepNext w:val="0"/>
              <w:keepLines w:val="0"/>
              <w:pageBreakBefore w:val="0"/>
              <w:widowControl/>
              <w:kinsoku/>
              <w:wordWrap w:val="0"/>
              <w:overflowPunct/>
              <w:topLinePunct w:val="0"/>
              <w:autoSpaceDE/>
              <w:autoSpaceDN/>
              <w:bidi w:val="0"/>
              <w:snapToGrid w:val="0"/>
              <w:spacing w:line="440" w:lineRule="exact"/>
              <w:jc w:val="both"/>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snapToGrid w:val="0"/>
                <w:color w:val="auto"/>
                <w:sz w:val="21"/>
                <w:szCs w:val="21"/>
                <w:highlight w:val="none"/>
                <w:lang w:val="en-US" w:eastAsia="zh-CN"/>
              </w:rPr>
              <w:t>未提供方案不得分。</w:t>
            </w:r>
          </w:p>
        </w:tc>
        <w:tc>
          <w:tcPr>
            <w:tcW w:w="1107" w:type="dxa"/>
            <w:shd w:val="clear" w:color="auto" w:fill="auto"/>
            <w:vAlign w:val="center"/>
          </w:tcPr>
          <w:p w14:paraId="3193DFB4">
            <w:pPr>
              <w:keepNext w:val="0"/>
              <w:keepLines w:val="0"/>
              <w:pageBreakBefore w:val="0"/>
              <w:widowControl/>
              <w:kinsoku/>
              <w:wordWrap w:val="0"/>
              <w:overflowPunct/>
              <w:topLinePunct w:val="0"/>
              <w:autoSpaceDE/>
              <w:autoSpaceDN/>
              <w:bidi w:val="0"/>
              <w:snapToGrid w:val="0"/>
              <w:spacing w:line="440" w:lineRule="exact"/>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r>
    </w:tbl>
    <w:p w14:paraId="500D6102">
      <w:pPr>
        <w:spacing w:line="360" w:lineRule="auto"/>
        <w:ind w:firstLine="480" w:firstLineChars="20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将所有评标委员会成员所评各项的得分进行算术平均（按四舍五入原则精确到小数点后三位），再汇总得出该投标人的技术评分（按四舍五入原则精确到小数点后两位）。</w:t>
      </w:r>
    </w:p>
    <w:p w14:paraId="504D1531">
      <w:pPr>
        <w:tabs>
          <w:tab w:val="left" w:pos="720"/>
        </w:tabs>
        <w:spacing w:line="360" w:lineRule="auto"/>
        <w:ind w:firstLine="480" w:firstLineChars="20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lang w:val="en-US" w:eastAsia="zh-CN"/>
        </w:rPr>
        <w:t>2</w:t>
      </w:r>
      <w:r>
        <w:rPr>
          <w:rFonts w:hint="eastAsia" w:asciiTheme="minorEastAsia" w:hAnsiTheme="minorEastAsia" w:eastAsiaTheme="minorEastAsia"/>
          <w:color w:val="auto"/>
          <w:sz w:val="24"/>
          <w:szCs w:val="24"/>
          <w:highlight w:val="none"/>
        </w:rPr>
        <w:t>、价格评分（</w:t>
      </w:r>
      <w:r>
        <w:rPr>
          <w:rFonts w:hint="eastAsia" w:asciiTheme="minorEastAsia" w:hAnsiTheme="minorEastAsia" w:eastAsiaTheme="minorEastAsia"/>
          <w:color w:val="auto"/>
          <w:sz w:val="24"/>
          <w:szCs w:val="24"/>
          <w:highlight w:val="none"/>
          <w:lang w:val="en-US" w:eastAsia="zh-CN"/>
        </w:rPr>
        <w:t>3</w:t>
      </w:r>
      <w:r>
        <w:rPr>
          <w:rFonts w:hint="eastAsia" w:asciiTheme="minorEastAsia" w:hAnsiTheme="minorEastAsia" w:eastAsiaTheme="minorEastAsia"/>
          <w:color w:val="auto"/>
          <w:sz w:val="24"/>
          <w:szCs w:val="24"/>
          <w:highlight w:val="none"/>
        </w:rPr>
        <w:t>0分）</w:t>
      </w:r>
    </w:p>
    <w:p w14:paraId="18CECE29">
      <w:pPr>
        <w:pStyle w:val="23"/>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计算价格评分：</w:t>
      </w:r>
    </w:p>
    <w:p w14:paraId="12A7DD53">
      <w:pPr>
        <w:pStyle w:val="23"/>
        <w:spacing w:line="360" w:lineRule="auto"/>
        <w:ind w:firstLine="480" w:firstLineChars="200"/>
        <w:rPr>
          <w:rFonts w:hint="eastAsia"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lang w:eastAsia="zh-CN"/>
        </w:rPr>
        <w:t>（</w:t>
      </w:r>
      <w:r>
        <w:rPr>
          <w:rFonts w:hint="eastAsia" w:cs="宋体" w:asciiTheme="minorEastAsia" w:hAnsiTheme="minorEastAsia" w:eastAsiaTheme="minorEastAsia"/>
          <w:color w:val="auto"/>
          <w:sz w:val="24"/>
          <w:szCs w:val="24"/>
          <w:highlight w:val="none"/>
          <w:lang w:val="en-US" w:eastAsia="zh-CN"/>
        </w:rPr>
        <w:t>1</w:t>
      </w:r>
      <w:r>
        <w:rPr>
          <w:rFonts w:hint="eastAsia" w:cs="宋体" w:asciiTheme="minorEastAsia" w:hAnsiTheme="minorEastAsia" w:eastAsiaTheme="minorEastAsia"/>
          <w:color w:val="auto"/>
          <w:sz w:val="24"/>
          <w:szCs w:val="24"/>
          <w:highlight w:val="none"/>
          <w:lang w:eastAsia="zh-CN"/>
        </w:rPr>
        <w:t>）</w:t>
      </w:r>
      <w:r>
        <w:rPr>
          <w:rFonts w:hint="eastAsia" w:cs="宋体" w:asciiTheme="minorEastAsia" w:hAnsiTheme="minorEastAsia" w:eastAsiaTheme="minorEastAsia"/>
          <w:color w:val="auto"/>
          <w:sz w:val="24"/>
          <w:szCs w:val="24"/>
          <w:highlight w:val="none"/>
        </w:rPr>
        <w:t>价格核准：评标委员会详细分析、核准价格表，检查其是否存在计算上或累加上的算术错误，修正错误的原则详见招标文件价格评价相关条款.</w:t>
      </w:r>
    </w:p>
    <w:p w14:paraId="122A68E9">
      <w:pPr>
        <w:pStyle w:val="23"/>
        <w:spacing w:line="360" w:lineRule="auto"/>
        <w:ind w:firstLine="480" w:firstLineChars="200"/>
        <w:rPr>
          <w:rFonts w:hint="eastAsia"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lang w:eastAsia="zh-CN"/>
        </w:rPr>
        <w:t>（</w:t>
      </w:r>
      <w:r>
        <w:rPr>
          <w:rFonts w:hint="eastAsia" w:cs="宋体" w:asciiTheme="minorEastAsia" w:hAnsiTheme="minorEastAsia" w:eastAsiaTheme="minorEastAsia"/>
          <w:color w:val="auto"/>
          <w:sz w:val="24"/>
          <w:szCs w:val="24"/>
          <w:highlight w:val="none"/>
          <w:lang w:val="en-US" w:eastAsia="zh-CN"/>
        </w:rPr>
        <w:t>2</w:t>
      </w:r>
      <w:r>
        <w:rPr>
          <w:rFonts w:hint="eastAsia" w:cs="宋体" w:asciiTheme="minorEastAsia" w:hAnsiTheme="minorEastAsia" w:eastAsiaTheme="minorEastAsia"/>
          <w:color w:val="auto"/>
          <w:sz w:val="24"/>
          <w:szCs w:val="24"/>
          <w:highlight w:val="none"/>
          <w:lang w:eastAsia="zh-CN"/>
        </w:rPr>
        <w:t>）</w:t>
      </w:r>
      <w:r>
        <w:rPr>
          <w:rFonts w:hint="eastAsia" w:cs="宋体" w:asciiTheme="minorEastAsia" w:hAnsiTheme="minorEastAsia" w:eastAsiaTheme="minorEastAsia"/>
          <w:color w:val="auto"/>
          <w:sz w:val="24"/>
          <w:szCs w:val="24"/>
          <w:highlight w:val="none"/>
        </w:rPr>
        <w:t>综合评分法中的价格分采用如下方法：</w:t>
      </w:r>
    </w:p>
    <w:p w14:paraId="2CBADF99">
      <w:pPr>
        <w:pStyle w:val="23"/>
        <w:spacing w:line="360" w:lineRule="auto"/>
        <w:ind w:firstLine="480" w:firstLineChars="200"/>
        <w:rPr>
          <w:rFonts w:hint="eastAsia"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2.1评标基准价：通过资格、符合性评审的有效投标人大于5家时，去掉一个最高报价和一个最低报价，然后计算余下投标报价的算术平均值作为评标基准价A；当投标单位小于5家或等于5家时，取所有有效投标报价的算术平均值作为评标基准价A。</w:t>
      </w:r>
    </w:p>
    <w:p w14:paraId="6913BA59">
      <w:pPr>
        <w:pStyle w:val="23"/>
        <w:spacing w:line="360" w:lineRule="auto"/>
        <w:ind w:firstLine="480" w:firstLineChars="200"/>
        <w:rPr>
          <w:rFonts w:hint="eastAsia"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2.2各投标人有效投标报价An与评标基准价A相比，相等的得</w:t>
      </w:r>
      <w:r>
        <w:rPr>
          <w:rFonts w:hint="eastAsia" w:cs="宋体" w:asciiTheme="minorEastAsia" w:hAnsiTheme="minorEastAsia" w:eastAsiaTheme="minorEastAsia"/>
          <w:color w:val="auto"/>
          <w:sz w:val="24"/>
          <w:szCs w:val="24"/>
          <w:highlight w:val="none"/>
          <w:lang w:val="en-US" w:eastAsia="zh-CN"/>
        </w:rPr>
        <w:t>30</w:t>
      </w:r>
      <w:r>
        <w:rPr>
          <w:rFonts w:hint="eastAsia" w:cs="宋体" w:asciiTheme="minorEastAsia" w:hAnsiTheme="minorEastAsia" w:eastAsiaTheme="minorEastAsia"/>
          <w:color w:val="auto"/>
          <w:sz w:val="24"/>
          <w:szCs w:val="24"/>
          <w:highlight w:val="none"/>
        </w:rPr>
        <w:t>分，每高于基准价1%扣0.5分，每低于基准价1%扣0.3分，不足1%部分按直线插入法同比率计算得分</w:t>
      </w:r>
      <w:r>
        <w:rPr>
          <w:rFonts w:hint="eastAsia" w:cs="宋体" w:asciiTheme="minorEastAsia" w:hAnsiTheme="minorEastAsia" w:eastAsiaTheme="minorEastAsia"/>
          <w:color w:val="auto"/>
          <w:sz w:val="24"/>
          <w:szCs w:val="24"/>
          <w:highlight w:val="none"/>
          <w:lang w:eastAsia="zh-CN"/>
        </w:rPr>
        <w:t>（</w:t>
      </w:r>
      <w:r>
        <w:rPr>
          <w:rFonts w:hint="eastAsia" w:cs="宋体" w:asciiTheme="minorEastAsia" w:hAnsiTheme="minorEastAsia" w:eastAsiaTheme="minorEastAsia"/>
          <w:color w:val="auto"/>
          <w:sz w:val="24"/>
          <w:szCs w:val="24"/>
          <w:highlight w:val="none"/>
        </w:rPr>
        <w:t>四舍五入保留两位小数</w:t>
      </w:r>
      <w:r>
        <w:rPr>
          <w:rFonts w:hint="eastAsia" w:cs="宋体" w:asciiTheme="minorEastAsia" w:hAnsiTheme="minorEastAsia" w:eastAsiaTheme="minorEastAsia"/>
          <w:color w:val="auto"/>
          <w:sz w:val="24"/>
          <w:szCs w:val="24"/>
          <w:highlight w:val="none"/>
          <w:lang w:eastAsia="zh-CN"/>
        </w:rPr>
        <w:t>）</w:t>
      </w:r>
      <w:r>
        <w:rPr>
          <w:rFonts w:hint="eastAsia" w:cs="宋体" w:asciiTheme="minorEastAsia" w:hAnsiTheme="minorEastAsia" w:eastAsiaTheme="minorEastAsia"/>
          <w:color w:val="auto"/>
          <w:sz w:val="24"/>
          <w:szCs w:val="24"/>
          <w:highlight w:val="none"/>
        </w:rPr>
        <w:t>。</w:t>
      </w:r>
    </w:p>
    <w:p w14:paraId="69DA8B20">
      <w:pPr>
        <w:pStyle w:val="23"/>
        <w:spacing w:line="360" w:lineRule="auto"/>
        <w:ind w:firstLine="480" w:firstLineChars="200"/>
        <w:rPr>
          <w:rFonts w:hint="eastAsia"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计算公式如下：</w:t>
      </w:r>
    </w:p>
    <w:p w14:paraId="1E84AA5F">
      <w:pPr>
        <w:pStyle w:val="23"/>
        <w:spacing w:line="360" w:lineRule="auto"/>
        <w:ind w:firstLine="480" w:firstLineChars="200"/>
        <w:rPr>
          <w:rFonts w:hint="eastAsia" w:cs="宋体" w:asciiTheme="minorEastAsia" w:hAnsiTheme="minorEastAsia" w:eastAsiaTheme="minorEastAsia"/>
          <w:color w:val="auto"/>
          <w:sz w:val="24"/>
          <w:szCs w:val="24"/>
          <w:highlight w:val="none"/>
          <w:lang w:eastAsia="zh-CN"/>
        </w:rPr>
      </w:pPr>
      <w:r>
        <w:rPr>
          <w:rFonts w:hint="eastAsia" w:cs="宋体" w:asciiTheme="minorEastAsia" w:hAnsiTheme="minorEastAsia" w:eastAsiaTheme="minorEastAsia"/>
          <w:color w:val="auto"/>
          <w:sz w:val="24"/>
          <w:szCs w:val="24"/>
          <w:highlight w:val="none"/>
        </w:rPr>
        <w:t>当投标报价An高于评标标准价A时，投标报价得分C=</w:t>
      </w:r>
      <w:r>
        <w:rPr>
          <w:rFonts w:hint="eastAsia" w:cs="宋体" w:asciiTheme="minorEastAsia" w:hAnsiTheme="minorEastAsia" w:eastAsiaTheme="minorEastAsia"/>
          <w:color w:val="auto"/>
          <w:sz w:val="24"/>
          <w:szCs w:val="24"/>
          <w:highlight w:val="none"/>
          <w:lang w:val="en-US" w:eastAsia="zh-CN"/>
        </w:rPr>
        <w:t>30</w:t>
      </w:r>
      <w:r>
        <w:rPr>
          <w:rFonts w:hint="eastAsia" w:cs="宋体" w:asciiTheme="minorEastAsia" w:hAnsiTheme="minorEastAsia" w:eastAsiaTheme="minorEastAsia"/>
          <w:color w:val="auto"/>
          <w:sz w:val="24"/>
          <w:szCs w:val="24"/>
          <w:highlight w:val="none"/>
        </w:rPr>
        <w:t>-50×|An-A|/A</w:t>
      </w:r>
      <w:r>
        <w:rPr>
          <w:rFonts w:hint="eastAsia" w:cs="宋体" w:asciiTheme="minorEastAsia" w:hAnsiTheme="minorEastAsia" w:eastAsiaTheme="minorEastAsia"/>
          <w:color w:val="auto"/>
          <w:sz w:val="24"/>
          <w:szCs w:val="24"/>
          <w:highlight w:val="none"/>
          <w:lang w:eastAsia="zh-CN"/>
        </w:rPr>
        <w:t>；</w:t>
      </w:r>
    </w:p>
    <w:p w14:paraId="599495D7">
      <w:pPr>
        <w:pStyle w:val="23"/>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当投标报价An低于评标标准价A时，投标报价得分C=</w:t>
      </w:r>
      <w:r>
        <w:rPr>
          <w:rFonts w:hint="eastAsia" w:cs="宋体" w:asciiTheme="minorEastAsia" w:hAnsiTheme="minorEastAsia" w:eastAsiaTheme="minorEastAsia"/>
          <w:color w:val="auto"/>
          <w:sz w:val="24"/>
          <w:szCs w:val="24"/>
          <w:highlight w:val="none"/>
          <w:lang w:val="en-US" w:eastAsia="zh-CN"/>
        </w:rPr>
        <w:t>30</w:t>
      </w:r>
      <w:r>
        <w:rPr>
          <w:rFonts w:hint="eastAsia" w:cs="宋体" w:asciiTheme="minorEastAsia" w:hAnsiTheme="minorEastAsia" w:eastAsiaTheme="minorEastAsia"/>
          <w:color w:val="auto"/>
          <w:sz w:val="24"/>
          <w:szCs w:val="24"/>
          <w:highlight w:val="none"/>
        </w:rPr>
        <w:t>-30×|An-A|/A.</w:t>
      </w:r>
    </w:p>
    <w:p w14:paraId="0F59FBEE">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（五）综合评分的计算和中标单位推荐</w:t>
      </w:r>
    </w:p>
    <w:p w14:paraId="09DF98B7">
      <w:pPr>
        <w:tabs>
          <w:tab w:val="left" w:pos="720"/>
        </w:tabs>
        <w:spacing w:line="360" w:lineRule="auto"/>
        <w:ind w:firstLine="480" w:firstLineChars="20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1、综合评分=</w:t>
      </w:r>
      <w:r>
        <w:rPr>
          <w:rFonts w:hint="eastAsia" w:cs="宋体" w:asciiTheme="minorEastAsia" w:hAnsiTheme="minorEastAsia" w:eastAsiaTheme="minorEastAsia"/>
          <w:color w:val="auto"/>
          <w:sz w:val="24"/>
          <w:szCs w:val="24"/>
          <w:highlight w:val="none"/>
        </w:rPr>
        <w:t>技术</w:t>
      </w:r>
      <w:r>
        <w:rPr>
          <w:rFonts w:hint="eastAsia" w:cs="宋体" w:asciiTheme="minorEastAsia" w:hAnsiTheme="minorEastAsia" w:eastAsiaTheme="minorEastAsia"/>
          <w:color w:val="auto"/>
          <w:sz w:val="24"/>
          <w:szCs w:val="24"/>
          <w:highlight w:val="none"/>
          <w:lang w:val="en-US" w:eastAsia="zh-CN"/>
        </w:rPr>
        <w:t>商务</w:t>
      </w:r>
      <w:r>
        <w:rPr>
          <w:rFonts w:hint="eastAsia" w:asciiTheme="minorEastAsia" w:hAnsiTheme="minorEastAsia" w:eastAsiaTheme="minorEastAsia"/>
          <w:color w:val="auto"/>
          <w:sz w:val="24"/>
          <w:szCs w:val="24"/>
          <w:highlight w:val="none"/>
        </w:rPr>
        <w:t>评分＋价格评分</w:t>
      </w:r>
    </w:p>
    <w:p w14:paraId="2F2D1A8E">
      <w:pPr>
        <w:spacing w:line="360" w:lineRule="auto"/>
        <w:ind w:firstLine="482"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
          <w:color w:val="auto"/>
          <w:sz w:val="24"/>
          <w:szCs w:val="24"/>
          <w:highlight w:val="none"/>
        </w:rPr>
        <w:t>2、各项得分按四舍五入原则精确到小数点后两位，小数点后第三位“四舍五入”。评标委员会根据投标人综合得分由高到低顺序排列，综合得分相同的，按投标报价由低到高顺序排列；综合得分相同，且投标报价相同的，按技术</w:t>
      </w:r>
      <w:r>
        <w:rPr>
          <w:rFonts w:hint="eastAsia" w:asciiTheme="minorEastAsia" w:hAnsiTheme="minorEastAsia" w:eastAsiaTheme="minorEastAsia"/>
          <w:b/>
          <w:color w:val="auto"/>
          <w:sz w:val="24"/>
          <w:szCs w:val="24"/>
          <w:highlight w:val="none"/>
          <w:lang w:val="en-US" w:eastAsia="zh-CN"/>
        </w:rPr>
        <w:t>商务</w:t>
      </w:r>
      <w:r>
        <w:rPr>
          <w:rFonts w:hint="eastAsia" w:asciiTheme="minorEastAsia" w:hAnsiTheme="minorEastAsia" w:eastAsiaTheme="minorEastAsia"/>
          <w:b/>
          <w:color w:val="auto"/>
          <w:sz w:val="24"/>
          <w:szCs w:val="24"/>
          <w:highlight w:val="none"/>
        </w:rPr>
        <w:t>评分由高到低顺序排列；综合得分相同，且投标报价和技术</w:t>
      </w:r>
      <w:r>
        <w:rPr>
          <w:rFonts w:hint="eastAsia" w:asciiTheme="minorEastAsia" w:hAnsiTheme="minorEastAsia" w:eastAsiaTheme="minorEastAsia"/>
          <w:b/>
          <w:color w:val="auto"/>
          <w:sz w:val="24"/>
          <w:szCs w:val="24"/>
          <w:highlight w:val="none"/>
          <w:lang w:val="en-US" w:eastAsia="zh-CN"/>
        </w:rPr>
        <w:t>商务</w:t>
      </w:r>
      <w:r>
        <w:rPr>
          <w:rFonts w:hint="eastAsia" w:asciiTheme="minorEastAsia" w:hAnsiTheme="minorEastAsia" w:eastAsiaTheme="minorEastAsia"/>
          <w:b/>
          <w:color w:val="auto"/>
          <w:sz w:val="24"/>
          <w:szCs w:val="24"/>
          <w:highlight w:val="none"/>
        </w:rPr>
        <w:t>评分均相同的，名次由评标委员会采用投票方式决定。评标委员会按上述排列向采购人推荐综合得分排名第一名为第一中标候选人，综合得分排名第二名为第二中标候选人。评标委员会编写评标报告，并全体签字确认。</w:t>
      </w:r>
    </w:p>
    <w:p w14:paraId="0021080F">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（六）中标候选人推荐</w:t>
      </w:r>
    </w:p>
    <w:p w14:paraId="4FC6AD14">
      <w:pPr>
        <w:spacing w:line="360" w:lineRule="auto"/>
        <w:ind w:firstLine="480" w:firstLineChars="200"/>
        <w:rPr>
          <w:rFonts w:asciiTheme="minorEastAsia" w:hAnsiTheme="minorEastAsia" w:eastAsiaTheme="minorEastAsia"/>
          <w:bCs/>
          <w:color w:val="auto"/>
          <w:sz w:val="24"/>
          <w:szCs w:val="24"/>
          <w:highlight w:val="none"/>
        </w:rPr>
      </w:pPr>
      <w:bookmarkStart w:id="295" w:name="_Toc22295591"/>
      <w:r>
        <w:rPr>
          <w:rFonts w:hint="eastAsia" w:asciiTheme="minorEastAsia" w:hAnsiTheme="minorEastAsia" w:eastAsiaTheme="minorEastAsia"/>
          <w:bCs/>
          <w:color w:val="auto"/>
          <w:sz w:val="24"/>
          <w:szCs w:val="24"/>
          <w:highlight w:val="none"/>
        </w:rPr>
        <w:t>评标委员会按上述排列向采购人推荐中标候选人。</w:t>
      </w:r>
      <w:r>
        <w:rPr>
          <w:rFonts w:hint="eastAsia" w:ascii="宋体" w:hAnsi="宋体"/>
          <w:color w:val="auto"/>
          <w:sz w:val="24"/>
          <w:szCs w:val="24"/>
          <w:highlight w:val="none"/>
        </w:rPr>
        <w:t>综合得分排名第一、第二的中标候选人不得随意放弃中标资格</w:t>
      </w:r>
      <w:r>
        <w:rPr>
          <w:rFonts w:hint="eastAsia" w:asciiTheme="minorEastAsia" w:hAnsiTheme="minorEastAsia" w:eastAsiaTheme="minorEastAsia"/>
          <w:bCs/>
          <w:color w:val="auto"/>
          <w:sz w:val="24"/>
          <w:szCs w:val="24"/>
          <w:highlight w:val="none"/>
        </w:rPr>
        <w:t>。</w:t>
      </w:r>
    </w:p>
    <w:p w14:paraId="2956C4A1">
      <w:pPr>
        <w:widowControl w:val="0"/>
        <w:numPr>
          <w:ilvl w:val="0"/>
          <w:numId w:val="14"/>
        </w:numPr>
        <w:spacing w:line="360" w:lineRule="auto"/>
        <w:ind w:left="567" w:hanging="27"/>
        <w:outlineLvl w:val="1"/>
        <w:rPr>
          <w:rFonts w:asciiTheme="minorEastAsia" w:hAnsiTheme="minorEastAsia" w:eastAsiaTheme="minorEastAsia"/>
          <w:b/>
          <w:color w:val="auto"/>
          <w:sz w:val="24"/>
          <w:szCs w:val="24"/>
          <w:highlight w:val="none"/>
        </w:rPr>
      </w:pPr>
      <w:bookmarkStart w:id="296" w:name="_Toc32356"/>
      <w:bookmarkStart w:id="297" w:name="_Toc29867"/>
      <w:bookmarkStart w:id="298" w:name="_Toc31309"/>
      <w:bookmarkStart w:id="299" w:name="_Toc11353"/>
      <w:bookmarkStart w:id="300" w:name="_Toc29622"/>
      <w:r>
        <w:rPr>
          <w:rFonts w:hint="eastAsia" w:asciiTheme="minorEastAsia" w:hAnsiTheme="minorEastAsia" w:eastAsiaTheme="minorEastAsia"/>
          <w:b/>
          <w:color w:val="auto"/>
          <w:sz w:val="24"/>
          <w:szCs w:val="24"/>
          <w:highlight w:val="none"/>
        </w:rPr>
        <w:t>项目废标处理</w:t>
      </w:r>
      <w:bookmarkEnd w:id="295"/>
      <w:bookmarkEnd w:id="296"/>
      <w:bookmarkEnd w:id="297"/>
      <w:bookmarkEnd w:id="298"/>
      <w:bookmarkEnd w:id="299"/>
      <w:bookmarkEnd w:id="300"/>
    </w:p>
    <w:p w14:paraId="0EDA5546">
      <w:pPr>
        <w:spacing w:line="360" w:lineRule="auto"/>
        <w:ind w:firstLine="540" w:firstLineChars="225"/>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下列情况出现将作废标处理：</w:t>
      </w:r>
    </w:p>
    <w:p w14:paraId="733D49E3">
      <w:pPr>
        <w:pStyle w:val="6"/>
        <w:numPr>
          <w:ilvl w:val="1"/>
          <w:numId w:val="23"/>
        </w:numPr>
        <w:tabs>
          <w:tab w:val="clear" w:pos="851"/>
        </w:tabs>
        <w:ind w:left="0" w:firstLine="4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符合专业资格条件的投标人或者对采购文件作实质响应的有效投标人不足三家的； </w:t>
      </w:r>
    </w:p>
    <w:p w14:paraId="0BB95A0A">
      <w:pPr>
        <w:pStyle w:val="6"/>
        <w:numPr>
          <w:ilvl w:val="1"/>
          <w:numId w:val="23"/>
        </w:numPr>
        <w:tabs>
          <w:tab w:val="clear" w:pos="851"/>
        </w:tabs>
        <w:ind w:left="0" w:firstLine="4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出现影响采购公正的违法、违规行为的； </w:t>
      </w:r>
    </w:p>
    <w:p w14:paraId="5EB22AE1">
      <w:pPr>
        <w:pStyle w:val="6"/>
        <w:numPr>
          <w:ilvl w:val="1"/>
          <w:numId w:val="23"/>
        </w:numPr>
        <w:tabs>
          <w:tab w:val="clear" w:pos="851"/>
        </w:tabs>
        <w:ind w:left="0" w:firstLine="4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因重大变故，采购任务取消的。 </w:t>
      </w:r>
    </w:p>
    <w:p w14:paraId="0DE39E90">
      <w:pPr>
        <w:widowControl w:val="0"/>
        <w:numPr>
          <w:ilvl w:val="0"/>
          <w:numId w:val="14"/>
        </w:numPr>
        <w:spacing w:line="360" w:lineRule="auto"/>
        <w:ind w:left="567" w:hanging="27"/>
        <w:outlineLvl w:val="1"/>
        <w:rPr>
          <w:rFonts w:asciiTheme="minorEastAsia" w:hAnsiTheme="minorEastAsia" w:eastAsiaTheme="minorEastAsia"/>
          <w:b/>
          <w:color w:val="auto"/>
          <w:sz w:val="24"/>
          <w:szCs w:val="24"/>
          <w:highlight w:val="none"/>
        </w:rPr>
      </w:pPr>
      <w:bookmarkStart w:id="301" w:name="_Toc11791"/>
      <w:bookmarkStart w:id="302" w:name="_Toc22295592"/>
      <w:bookmarkStart w:id="303" w:name="_Toc11912"/>
      <w:bookmarkStart w:id="304" w:name="_Toc24240"/>
      <w:bookmarkStart w:id="305" w:name="_Toc17703"/>
      <w:bookmarkStart w:id="306" w:name="_Toc20581"/>
      <w:r>
        <w:rPr>
          <w:rFonts w:hint="eastAsia" w:asciiTheme="minorEastAsia" w:hAnsiTheme="minorEastAsia" w:eastAsiaTheme="minorEastAsia"/>
          <w:b/>
          <w:color w:val="auto"/>
          <w:sz w:val="24"/>
          <w:szCs w:val="24"/>
          <w:highlight w:val="none"/>
        </w:rPr>
        <w:t>定标</w:t>
      </w:r>
      <w:bookmarkEnd w:id="301"/>
      <w:bookmarkEnd w:id="302"/>
      <w:bookmarkEnd w:id="303"/>
      <w:bookmarkEnd w:id="304"/>
      <w:bookmarkEnd w:id="305"/>
      <w:bookmarkEnd w:id="306"/>
    </w:p>
    <w:p w14:paraId="0B162019">
      <w:pPr>
        <w:pStyle w:val="6"/>
        <w:numPr>
          <w:ilvl w:val="1"/>
          <w:numId w:val="24"/>
        </w:numPr>
        <w:tabs>
          <w:tab w:val="clear" w:pos="851"/>
        </w:tabs>
        <w:ind w:left="0"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采购人依据评标委员会推荐的第一中标候选人确定为中标人。当第一中标候选人放弃中标、或因不可抗力提出不能履行合同的，采购人可以按照评标委员会推荐的中标候选人名单排序依次确定其他中标候选人为中标人，也可以重新组织采购。</w:t>
      </w:r>
    </w:p>
    <w:p w14:paraId="76BB31B4">
      <w:pPr>
        <w:pStyle w:val="6"/>
        <w:numPr>
          <w:ilvl w:val="1"/>
          <w:numId w:val="24"/>
        </w:numPr>
        <w:tabs>
          <w:tab w:val="clear" w:pos="851"/>
        </w:tabs>
        <w:ind w:left="0" w:firstLine="4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凡发现中标单位有下列行为之一的，将移交有关部门依法处理。</w:t>
      </w:r>
    </w:p>
    <w:p w14:paraId="055E6190">
      <w:pPr>
        <w:numPr>
          <w:ilvl w:val="2"/>
          <w:numId w:val="25"/>
        </w:numPr>
        <w:tabs>
          <w:tab w:val="left" w:pos="720"/>
        </w:tabs>
        <w:spacing w:line="360" w:lineRule="auto"/>
        <w:ind w:left="1417" w:hanging="1060"/>
        <w:jc w:val="both"/>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提供虚假材料谋取中标的</w:t>
      </w:r>
      <w:r>
        <w:rPr>
          <w:rFonts w:hint="eastAsia" w:asciiTheme="minorEastAsia" w:hAnsiTheme="minorEastAsia" w:eastAsiaTheme="minorEastAsia"/>
          <w:color w:val="auto"/>
          <w:sz w:val="24"/>
          <w:szCs w:val="24"/>
          <w:highlight w:val="none"/>
        </w:rPr>
        <w:t>；</w:t>
      </w:r>
    </w:p>
    <w:p w14:paraId="5565E505">
      <w:pPr>
        <w:numPr>
          <w:ilvl w:val="2"/>
          <w:numId w:val="25"/>
        </w:numPr>
        <w:tabs>
          <w:tab w:val="left" w:pos="720"/>
        </w:tabs>
        <w:spacing w:line="360" w:lineRule="auto"/>
        <w:ind w:left="1417" w:hanging="1060"/>
        <w:jc w:val="both"/>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采取不正当手段诋毁、排挤其他投标人的；</w:t>
      </w:r>
    </w:p>
    <w:p w14:paraId="535A8E3A">
      <w:pPr>
        <w:numPr>
          <w:ilvl w:val="2"/>
          <w:numId w:val="25"/>
        </w:numPr>
        <w:tabs>
          <w:tab w:val="left" w:pos="720"/>
        </w:tabs>
        <w:spacing w:line="360" w:lineRule="auto"/>
        <w:ind w:left="1417" w:hanging="1060"/>
        <w:jc w:val="both"/>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与采购人、其他投标人工作人员恶意串通的；</w:t>
      </w:r>
    </w:p>
    <w:p w14:paraId="07917B7C">
      <w:pPr>
        <w:numPr>
          <w:ilvl w:val="2"/>
          <w:numId w:val="25"/>
        </w:numPr>
        <w:tabs>
          <w:tab w:val="left" w:pos="720"/>
        </w:tabs>
        <w:spacing w:line="360" w:lineRule="auto"/>
        <w:ind w:left="1417" w:hanging="1060"/>
        <w:jc w:val="both"/>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向采购人工作人员行贿或者提供其他不正当利益的；</w:t>
      </w:r>
    </w:p>
    <w:p w14:paraId="0A77E6F6">
      <w:pPr>
        <w:numPr>
          <w:ilvl w:val="2"/>
          <w:numId w:val="25"/>
        </w:numPr>
        <w:tabs>
          <w:tab w:val="left" w:pos="720"/>
        </w:tabs>
        <w:spacing w:line="360" w:lineRule="auto"/>
        <w:ind w:left="1417" w:hanging="1060"/>
        <w:jc w:val="both"/>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在招标采购过程中与采购人进行协商谈判的；</w:t>
      </w:r>
    </w:p>
    <w:p w14:paraId="49F68B27">
      <w:pPr>
        <w:numPr>
          <w:ilvl w:val="2"/>
          <w:numId w:val="25"/>
        </w:numPr>
        <w:tabs>
          <w:tab w:val="left" w:pos="720"/>
        </w:tabs>
        <w:spacing w:line="360" w:lineRule="auto"/>
        <w:ind w:hanging="1058"/>
        <w:jc w:val="both"/>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拒绝有关部门监督检查或者提供虚假情况的；</w:t>
      </w:r>
    </w:p>
    <w:p w14:paraId="7AD913D2">
      <w:pPr>
        <w:numPr>
          <w:ilvl w:val="2"/>
          <w:numId w:val="25"/>
        </w:numPr>
        <w:tabs>
          <w:tab w:val="left" w:pos="720"/>
        </w:tabs>
        <w:spacing w:line="360" w:lineRule="auto"/>
        <w:ind w:hanging="1058"/>
        <w:jc w:val="both"/>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有法律、法规规定的其他损害采购人利益和社会公共利益情形的。</w:t>
      </w:r>
    </w:p>
    <w:p w14:paraId="4938DA9E">
      <w:pPr>
        <w:pStyle w:val="6"/>
        <w:numPr>
          <w:ilvl w:val="1"/>
          <w:numId w:val="24"/>
        </w:numPr>
        <w:tabs>
          <w:tab w:val="clear" w:pos="851"/>
        </w:tabs>
        <w:ind w:left="0" w:firstLine="4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采购结果确认后， 采购人将中标结果在招标公告规定的媒体上进行公告。不在中标名单之列者即为落标人，采购人不再以其它方式另行通知。</w:t>
      </w:r>
    </w:p>
    <w:p w14:paraId="30FFC05F">
      <w:pPr>
        <w:pStyle w:val="6"/>
        <w:numPr>
          <w:ilvl w:val="1"/>
          <w:numId w:val="24"/>
        </w:numPr>
        <w:tabs>
          <w:tab w:val="clear" w:pos="851"/>
        </w:tabs>
        <w:ind w:left="0" w:firstLine="4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中标结果公示后，中标单位须根据</w:t>
      </w:r>
      <w:r>
        <w:rPr>
          <w:rFonts w:hint="eastAsia" w:hAnsi="宋体" w:cs="宋体" w:eastAsiaTheme="minorEastAsia"/>
          <w:color w:val="auto"/>
          <w:sz w:val="24"/>
          <w:szCs w:val="24"/>
          <w:highlight w:val="none"/>
        </w:rPr>
        <w:t>采购文件</w:t>
      </w:r>
      <w:r>
        <w:rPr>
          <w:rFonts w:hint="eastAsia" w:asciiTheme="minorEastAsia" w:hAnsiTheme="minorEastAsia" w:eastAsiaTheme="minorEastAsia"/>
          <w:color w:val="auto"/>
          <w:sz w:val="24"/>
          <w:szCs w:val="24"/>
          <w:highlight w:val="none"/>
        </w:rPr>
        <w:t>规定缴纳招标服务费，相关缴费方式以</w:t>
      </w:r>
      <w:r>
        <w:rPr>
          <w:rFonts w:hint="eastAsia" w:hAnsi="宋体" w:cs="宋体" w:eastAsiaTheme="minorEastAsia"/>
          <w:color w:val="auto"/>
          <w:sz w:val="24"/>
          <w:szCs w:val="24"/>
          <w:highlight w:val="none"/>
        </w:rPr>
        <w:t>采购文件</w:t>
      </w:r>
      <w:r>
        <w:rPr>
          <w:rFonts w:hint="eastAsia" w:asciiTheme="minorEastAsia" w:hAnsiTheme="minorEastAsia" w:eastAsiaTheme="minorEastAsia"/>
          <w:color w:val="auto"/>
          <w:sz w:val="24"/>
          <w:szCs w:val="24"/>
          <w:highlight w:val="none"/>
        </w:rPr>
        <w:t>规定为准。中标单位在完成缴费后领取发票和《中标通知书》。《中标通知书》将作为授予合同资格的唯一合法依据。</w:t>
      </w:r>
    </w:p>
    <w:p w14:paraId="1FD7E44D">
      <w:pPr>
        <w:pStyle w:val="6"/>
        <w:numPr>
          <w:ilvl w:val="1"/>
          <w:numId w:val="24"/>
        </w:numPr>
        <w:tabs>
          <w:tab w:val="clear" w:pos="851"/>
        </w:tabs>
        <w:ind w:left="0" w:firstLine="425"/>
        <w:rPr>
          <w:rFonts w:asciiTheme="minorEastAsia" w:hAnsiTheme="minorEastAsia" w:eastAsiaTheme="minorEastAsia"/>
          <w:color w:val="auto"/>
          <w:highlight w:val="none"/>
        </w:rPr>
      </w:pPr>
      <w:r>
        <w:rPr>
          <w:rFonts w:hint="eastAsia" w:asciiTheme="minorEastAsia" w:hAnsiTheme="minorEastAsia" w:eastAsiaTheme="minorEastAsia"/>
          <w:color w:val="auto"/>
          <w:sz w:val="24"/>
          <w:szCs w:val="24"/>
          <w:highlight w:val="none"/>
        </w:rPr>
        <w:t>中标单位放弃中标的，应当依法承担相应的法律责任。</w:t>
      </w:r>
    </w:p>
    <w:p w14:paraId="03F93DE6">
      <w:pPr>
        <w:widowControl w:val="0"/>
        <w:numPr>
          <w:ilvl w:val="0"/>
          <w:numId w:val="14"/>
        </w:numPr>
        <w:spacing w:line="360" w:lineRule="auto"/>
        <w:ind w:left="567" w:hanging="27"/>
        <w:outlineLvl w:val="1"/>
        <w:rPr>
          <w:rFonts w:asciiTheme="minorEastAsia" w:hAnsiTheme="minorEastAsia" w:eastAsiaTheme="minorEastAsia"/>
          <w:b/>
          <w:color w:val="auto"/>
          <w:sz w:val="24"/>
          <w:szCs w:val="24"/>
          <w:highlight w:val="none"/>
        </w:rPr>
      </w:pPr>
      <w:bookmarkStart w:id="307" w:name="_Toc5783"/>
      <w:bookmarkStart w:id="308" w:name="_Toc22295593"/>
      <w:bookmarkStart w:id="309" w:name="_Toc3454"/>
      <w:bookmarkStart w:id="310" w:name="_Toc20948"/>
      <w:bookmarkStart w:id="311" w:name="_Toc21564"/>
      <w:bookmarkStart w:id="312" w:name="_Toc27449"/>
      <w:r>
        <w:rPr>
          <w:rFonts w:hint="eastAsia" w:asciiTheme="minorEastAsia" w:hAnsiTheme="minorEastAsia" w:eastAsiaTheme="minorEastAsia"/>
          <w:b/>
          <w:color w:val="auto"/>
          <w:sz w:val="24"/>
          <w:szCs w:val="24"/>
          <w:highlight w:val="none"/>
        </w:rPr>
        <w:t>签约</w:t>
      </w:r>
      <w:bookmarkEnd w:id="307"/>
      <w:bookmarkEnd w:id="308"/>
      <w:bookmarkEnd w:id="309"/>
      <w:bookmarkEnd w:id="310"/>
      <w:bookmarkEnd w:id="311"/>
      <w:bookmarkEnd w:id="312"/>
    </w:p>
    <w:p w14:paraId="1332D251">
      <w:pPr>
        <w:pStyle w:val="6"/>
        <w:numPr>
          <w:ilvl w:val="1"/>
          <w:numId w:val="26"/>
        </w:numPr>
        <w:tabs>
          <w:tab w:val="clear" w:pos="851"/>
        </w:tabs>
        <w:ind w:left="0" w:firstLine="4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采购人应当自《中标通知书》发出之日起三十日内，按照采购文件和中标单位投标文件的约定，与中标单位签订书面合同。所签订的合同不得对采购文件和中标单位投标文件作实质性修改。</w:t>
      </w:r>
    </w:p>
    <w:p w14:paraId="69BC320E">
      <w:pPr>
        <w:pStyle w:val="6"/>
        <w:numPr>
          <w:ilvl w:val="0"/>
          <w:numId w:val="27"/>
        </w:numPr>
        <w:tabs>
          <w:tab w:val="clear" w:pos="851"/>
        </w:tabs>
        <w:ind w:firstLine="48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sz w:val="24"/>
          <w:szCs w:val="24"/>
          <w:highlight w:val="none"/>
        </w:rPr>
        <w:t xml:space="preserve"> 采购人不得向中标单位提出任何不合理的要求，作为签订合同的条件，不得与中标单位私下订立背离合同实质性内容的协议。</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hint="eastAsia" w:asciiTheme="minorEastAsia" w:hAnsiTheme="minorEastAsia" w:eastAsiaTheme="minorEastAsia"/>
          <w:color w:val="auto"/>
          <w:highlight w:val="none"/>
        </w:rPr>
        <w:br w:type="page"/>
      </w:r>
      <w:bookmarkStart w:id="313" w:name="_Toc22295594"/>
    </w:p>
    <w:p w14:paraId="37FC5387">
      <w:pPr>
        <w:pStyle w:val="4"/>
        <w:jc w:val="center"/>
        <w:rPr>
          <w:rFonts w:asciiTheme="minorEastAsia" w:hAnsiTheme="minorEastAsia" w:eastAsiaTheme="minorEastAsia"/>
          <w:color w:val="auto"/>
          <w:highlight w:val="none"/>
        </w:rPr>
      </w:pPr>
      <w:bookmarkStart w:id="314" w:name="_Toc419"/>
      <w:bookmarkStart w:id="315" w:name="_Toc11916"/>
      <w:r>
        <w:rPr>
          <w:rFonts w:hint="eastAsia" w:asciiTheme="minorEastAsia" w:hAnsiTheme="minorEastAsia" w:eastAsiaTheme="minorEastAsia"/>
          <w:color w:val="auto"/>
          <w:sz w:val="30"/>
          <w:szCs w:val="30"/>
          <w:highlight w:val="none"/>
        </w:rPr>
        <w:t xml:space="preserve">第五章 </w:t>
      </w:r>
      <w:bookmarkStart w:id="316" w:name="_Toc41723938"/>
      <w:bookmarkStart w:id="317" w:name="_Toc38947808"/>
      <w:bookmarkStart w:id="318" w:name="_Toc40762376"/>
      <w:bookmarkStart w:id="319" w:name="_Toc42313174"/>
      <w:bookmarkStart w:id="320" w:name="_Toc41884708"/>
      <w:r>
        <w:rPr>
          <w:rFonts w:hint="eastAsia" w:asciiTheme="minorEastAsia" w:hAnsiTheme="minorEastAsia" w:eastAsiaTheme="minorEastAsia"/>
          <w:color w:val="auto"/>
          <w:sz w:val="30"/>
          <w:szCs w:val="30"/>
          <w:highlight w:val="none"/>
        </w:rPr>
        <w:t>投标文件格式</w:t>
      </w:r>
      <w:bookmarkEnd w:id="313"/>
      <w:bookmarkEnd w:id="314"/>
      <w:bookmarkEnd w:id="315"/>
      <w:bookmarkEnd w:id="316"/>
      <w:bookmarkEnd w:id="317"/>
      <w:bookmarkEnd w:id="318"/>
      <w:bookmarkEnd w:id="319"/>
      <w:bookmarkEnd w:id="320"/>
    </w:p>
    <w:p w14:paraId="6740236C">
      <w:pPr>
        <w:pStyle w:val="7"/>
        <w:spacing w:line="340" w:lineRule="exact"/>
        <w:ind w:firstLine="482" w:firstLineChars="200"/>
        <w:rPr>
          <w:rFonts w:cs="仿宋_GB2312" w:asciiTheme="minorEastAsia" w:hAnsiTheme="minorEastAsia" w:eastAsiaTheme="minorEastAsia"/>
          <w:b/>
          <w:bCs/>
          <w:color w:val="auto"/>
          <w:sz w:val="24"/>
          <w:highlight w:val="none"/>
          <w:u w:val="single"/>
          <w:lang w:val="zh-CN"/>
        </w:rPr>
      </w:pPr>
      <w:bookmarkStart w:id="321" w:name="_Toc38947809"/>
      <w:bookmarkStart w:id="322" w:name="_Toc101771381"/>
      <w:bookmarkStart w:id="323" w:name="_Toc50276168"/>
      <w:bookmarkStart w:id="324" w:name="_Toc42313175"/>
      <w:bookmarkStart w:id="325" w:name="_Toc41884709"/>
      <w:bookmarkStart w:id="326" w:name="_Toc40762377"/>
      <w:bookmarkStart w:id="327" w:name="_Toc41723940"/>
      <w:bookmarkStart w:id="328" w:name="_Toc40762378"/>
      <w:bookmarkStart w:id="329" w:name="_Toc41884710"/>
      <w:bookmarkStart w:id="330" w:name="_Toc98580295"/>
      <w:bookmarkStart w:id="331" w:name="_Toc42394675"/>
      <w:bookmarkStart w:id="332" w:name="_Toc50276167"/>
      <w:bookmarkStart w:id="333" w:name="_Toc101843134"/>
      <w:bookmarkStart w:id="334" w:name="_Toc101951272"/>
      <w:bookmarkStart w:id="335" w:name="_Toc41723939"/>
      <w:bookmarkStart w:id="336" w:name="_Toc175106977"/>
      <w:bookmarkStart w:id="337" w:name="_Toc42313176"/>
      <w:bookmarkStart w:id="338" w:name="_Toc42394676"/>
      <w:bookmarkStart w:id="339" w:name="_Toc98579071"/>
      <w:bookmarkStart w:id="340" w:name="_Toc38947810"/>
      <w:bookmarkStart w:id="341" w:name="_Toc42394519"/>
      <w:bookmarkStart w:id="342" w:name="_Toc98579612"/>
      <w:bookmarkStart w:id="343" w:name="_Toc98579013"/>
      <w:bookmarkStart w:id="344" w:name="_Toc101775134"/>
      <w:bookmarkStart w:id="345" w:name="_Toc175644396"/>
      <w:bookmarkStart w:id="346" w:name="_Toc42394520"/>
      <w:r>
        <w:rPr>
          <w:rFonts w:hint="eastAsia" w:asciiTheme="minorEastAsia" w:hAnsiTheme="minorEastAsia" w:eastAsiaTheme="minorEastAsia"/>
          <w:b/>
          <w:bCs/>
          <w:color w:val="auto"/>
          <w:sz w:val="24"/>
          <w:szCs w:val="24"/>
          <w:highlight w:val="none"/>
          <w:u w:val="single"/>
        </w:rPr>
        <w:t>投标文件</w:t>
      </w:r>
      <w:r>
        <w:rPr>
          <w:rFonts w:hint="eastAsia" w:cs="仿宋_GB2312" w:asciiTheme="minorEastAsia" w:hAnsiTheme="minorEastAsia" w:eastAsiaTheme="minorEastAsia"/>
          <w:b/>
          <w:bCs/>
          <w:color w:val="auto"/>
          <w:sz w:val="24"/>
          <w:highlight w:val="none"/>
          <w:u w:val="single"/>
          <w:lang w:val="zh-CN"/>
        </w:rPr>
        <w:t>包括但不限于以下组成内容，请按顺序制作并编写页码，本章有提供格式文件的请按格式要求提交。</w:t>
      </w:r>
    </w:p>
    <w:p w14:paraId="640B7F3A">
      <w:pPr>
        <w:pStyle w:val="7"/>
        <w:spacing w:line="340" w:lineRule="exact"/>
        <w:ind w:firstLine="482" w:firstLineChars="200"/>
        <w:rPr>
          <w:rFonts w:cs="仿宋_GB2312" w:asciiTheme="minorEastAsia" w:hAnsiTheme="minorEastAsia" w:eastAsiaTheme="minorEastAsia"/>
          <w:b/>
          <w:bCs/>
          <w:color w:val="auto"/>
          <w:sz w:val="24"/>
          <w:highlight w:val="none"/>
          <w:u w:val="single"/>
          <w:lang w:val="zh-CN"/>
        </w:rPr>
      </w:pPr>
    </w:p>
    <w:p w14:paraId="08CD242F">
      <w:pPr>
        <w:pStyle w:val="7"/>
        <w:spacing w:line="360" w:lineRule="auto"/>
        <w:ind w:firstLine="0"/>
        <w:jc w:val="center"/>
        <w:outlineLvl w:val="1"/>
        <w:rPr>
          <w:rFonts w:cs="仿宋_GB2312" w:asciiTheme="minorEastAsia" w:hAnsiTheme="minorEastAsia" w:eastAsiaTheme="minorEastAsia"/>
          <w:b/>
          <w:bCs/>
          <w:color w:val="auto"/>
          <w:sz w:val="24"/>
          <w:highlight w:val="none"/>
          <w:u w:val="single"/>
          <w:lang w:val="zh-CN"/>
        </w:rPr>
      </w:pPr>
      <w:bookmarkStart w:id="347" w:name="_Toc25627"/>
      <w:bookmarkStart w:id="348" w:name="_Toc1347"/>
      <w:bookmarkStart w:id="349" w:name="_Toc30054"/>
      <w:bookmarkStart w:id="350" w:name="_Toc17794"/>
      <w:bookmarkStart w:id="351" w:name="_Toc22295597"/>
      <w:bookmarkStart w:id="352" w:name="_Toc32112"/>
      <w:r>
        <w:rPr>
          <w:rFonts w:hint="eastAsia" w:asciiTheme="minorEastAsia" w:hAnsiTheme="minorEastAsia" w:eastAsiaTheme="minorEastAsia"/>
          <w:b/>
          <w:color w:val="auto"/>
          <w:sz w:val="24"/>
          <w:szCs w:val="24"/>
          <w:highlight w:val="none"/>
        </w:rPr>
        <w:t>投标文件（均须加盖公章或骑缝章）</w:t>
      </w:r>
      <w:bookmarkEnd w:id="347"/>
      <w:bookmarkEnd w:id="348"/>
      <w:bookmarkEnd w:id="349"/>
      <w:bookmarkEnd w:id="350"/>
      <w:bookmarkEnd w:id="351"/>
      <w:bookmarkEnd w:id="352"/>
    </w:p>
    <w:tbl>
      <w:tblPr>
        <w:tblStyle w:val="41"/>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6400"/>
        <w:gridCol w:w="1860"/>
      </w:tblGrid>
      <w:tr w14:paraId="666D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90" w:type="dxa"/>
            <w:shd w:val="clear" w:color="auto" w:fill="D9D9D9"/>
            <w:vAlign w:val="center"/>
          </w:tcPr>
          <w:p w14:paraId="64D7852D">
            <w:pPr>
              <w:pStyle w:val="7"/>
              <w:keepNext w:val="0"/>
              <w:keepLines w:val="0"/>
              <w:pageBreakBefore w:val="0"/>
              <w:widowControl/>
              <w:kinsoku/>
              <w:wordWrap/>
              <w:overflowPunct/>
              <w:topLinePunct w:val="0"/>
              <w:autoSpaceDE/>
              <w:autoSpaceDN/>
              <w:bidi w:val="0"/>
              <w:adjustRightInd/>
              <w:snapToGrid/>
              <w:spacing w:line="440" w:lineRule="exact"/>
              <w:ind w:firstLine="0"/>
              <w:jc w:val="center"/>
              <w:textAlignment w:val="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序号</w:t>
            </w:r>
          </w:p>
        </w:tc>
        <w:tc>
          <w:tcPr>
            <w:tcW w:w="6400" w:type="dxa"/>
            <w:shd w:val="clear" w:color="auto" w:fill="D9D9D9"/>
            <w:vAlign w:val="center"/>
          </w:tcPr>
          <w:p w14:paraId="53CE4FA1">
            <w:pPr>
              <w:pStyle w:val="7"/>
              <w:keepNext w:val="0"/>
              <w:keepLines w:val="0"/>
              <w:pageBreakBefore w:val="0"/>
              <w:widowControl/>
              <w:kinsoku/>
              <w:wordWrap/>
              <w:overflowPunct/>
              <w:topLinePunct w:val="0"/>
              <w:autoSpaceDE/>
              <w:autoSpaceDN/>
              <w:bidi w:val="0"/>
              <w:adjustRightInd/>
              <w:snapToGrid/>
              <w:spacing w:line="440" w:lineRule="exact"/>
              <w:ind w:firstLine="0"/>
              <w:jc w:val="center"/>
              <w:textAlignment w:val="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内容</w:t>
            </w:r>
          </w:p>
        </w:tc>
        <w:tc>
          <w:tcPr>
            <w:tcW w:w="1860" w:type="dxa"/>
            <w:shd w:val="clear" w:color="auto" w:fill="D9D9D9"/>
            <w:vAlign w:val="center"/>
          </w:tcPr>
          <w:p w14:paraId="2AB791B9">
            <w:pPr>
              <w:pStyle w:val="7"/>
              <w:keepNext w:val="0"/>
              <w:keepLines w:val="0"/>
              <w:pageBreakBefore w:val="0"/>
              <w:widowControl/>
              <w:kinsoku/>
              <w:wordWrap/>
              <w:overflowPunct/>
              <w:topLinePunct w:val="0"/>
              <w:autoSpaceDE/>
              <w:autoSpaceDN/>
              <w:bidi w:val="0"/>
              <w:adjustRightInd/>
              <w:snapToGrid/>
              <w:spacing w:line="440" w:lineRule="exact"/>
              <w:ind w:firstLine="0"/>
              <w:jc w:val="center"/>
              <w:textAlignment w:val="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页码范围</w:t>
            </w:r>
          </w:p>
        </w:tc>
      </w:tr>
      <w:tr w14:paraId="7E36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1C7E0418">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vAlign w:val="center"/>
          </w:tcPr>
          <w:p w14:paraId="358A3F33">
            <w:pPr>
              <w:pStyle w:val="7"/>
              <w:keepNext w:val="0"/>
              <w:keepLines w:val="0"/>
              <w:pageBreakBefore w:val="0"/>
              <w:widowControl/>
              <w:kinsoku/>
              <w:wordWrap/>
              <w:overflowPunct/>
              <w:topLinePunct w:val="0"/>
              <w:autoSpaceDE/>
              <w:autoSpaceDN/>
              <w:bidi w:val="0"/>
              <w:adjustRightInd/>
              <w:snapToGrid/>
              <w:spacing w:line="440" w:lineRule="exact"/>
              <w:ind w:firstLine="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文件目录</w:t>
            </w:r>
          </w:p>
        </w:tc>
        <w:tc>
          <w:tcPr>
            <w:tcW w:w="1860" w:type="dxa"/>
          </w:tcPr>
          <w:p w14:paraId="51D0F134">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48EB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73AE0A32">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vAlign w:val="center"/>
          </w:tcPr>
          <w:p w14:paraId="5B9227CD">
            <w:pPr>
              <w:pStyle w:val="7"/>
              <w:keepNext w:val="0"/>
              <w:keepLines w:val="0"/>
              <w:pageBreakBefore w:val="0"/>
              <w:widowControl/>
              <w:kinsoku/>
              <w:wordWrap/>
              <w:overflowPunct/>
              <w:topLinePunct w:val="0"/>
              <w:autoSpaceDE/>
              <w:autoSpaceDN/>
              <w:bidi w:val="0"/>
              <w:adjustRightInd/>
              <w:snapToGrid/>
              <w:spacing w:line="440" w:lineRule="exact"/>
              <w:ind w:firstLine="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无重大违法记录声明</w:t>
            </w:r>
          </w:p>
        </w:tc>
        <w:tc>
          <w:tcPr>
            <w:tcW w:w="1860" w:type="dxa"/>
          </w:tcPr>
          <w:p w14:paraId="3F370B57">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5C0F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643C9292">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vAlign w:val="center"/>
          </w:tcPr>
          <w:p w14:paraId="70B0BB22">
            <w:pPr>
              <w:pStyle w:val="7"/>
              <w:keepNext w:val="0"/>
              <w:keepLines w:val="0"/>
              <w:pageBreakBefore w:val="0"/>
              <w:widowControl/>
              <w:kinsoku/>
              <w:wordWrap/>
              <w:overflowPunct/>
              <w:topLinePunct w:val="0"/>
              <w:autoSpaceDE/>
              <w:autoSpaceDN/>
              <w:bidi w:val="0"/>
              <w:adjustRightInd/>
              <w:snapToGrid/>
              <w:spacing w:line="440" w:lineRule="exact"/>
              <w:ind w:firstLine="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信用记录承诺函</w:t>
            </w:r>
          </w:p>
        </w:tc>
        <w:tc>
          <w:tcPr>
            <w:tcW w:w="1860" w:type="dxa"/>
          </w:tcPr>
          <w:p w14:paraId="070E68E3">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100E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42D22F8E">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vAlign w:val="center"/>
          </w:tcPr>
          <w:p w14:paraId="7FBDED33">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公平竞争承诺书</w:t>
            </w:r>
          </w:p>
        </w:tc>
        <w:tc>
          <w:tcPr>
            <w:tcW w:w="1860" w:type="dxa"/>
          </w:tcPr>
          <w:p w14:paraId="7D41BD08">
            <w:pPr>
              <w:keepNext w:val="0"/>
              <w:keepLines w:val="0"/>
              <w:pageBreakBefore w:val="0"/>
              <w:widowControl/>
              <w:kinsoku/>
              <w:wordWrap/>
              <w:overflowPunct/>
              <w:topLinePunct w:val="0"/>
              <w:autoSpaceDE/>
              <w:autoSpaceDN/>
              <w:bidi w:val="0"/>
              <w:adjustRightInd/>
              <w:snapToGrid/>
              <w:spacing w:line="440" w:lineRule="exact"/>
              <w:textAlignment w:val="auto"/>
              <w:rPr>
                <w:rFonts w:asciiTheme="minorEastAsia" w:hAnsiTheme="minorEastAsia" w:eastAsiaTheme="minorEastAsia"/>
                <w:color w:val="auto"/>
                <w:sz w:val="24"/>
                <w:szCs w:val="24"/>
                <w:highlight w:val="none"/>
              </w:rPr>
            </w:pPr>
          </w:p>
        </w:tc>
      </w:tr>
      <w:tr w14:paraId="2F26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1DD96BB2">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vAlign w:val="center"/>
          </w:tcPr>
          <w:p w14:paraId="12F26B2C">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投标承诺函</w:t>
            </w:r>
          </w:p>
        </w:tc>
        <w:tc>
          <w:tcPr>
            <w:tcW w:w="1860" w:type="dxa"/>
          </w:tcPr>
          <w:p w14:paraId="5E752508">
            <w:pPr>
              <w:keepNext w:val="0"/>
              <w:keepLines w:val="0"/>
              <w:pageBreakBefore w:val="0"/>
              <w:widowControl/>
              <w:kinsoku/>
              <w:wordWrap/>
              <w:overflowPunct/>
              <w:topLinePunct w:val="0"/>
              <w:autoSpaceDE/>
              <w:autoSpaceDN/>
              <w:bidi w:val="0"/>
              <w:adjustRightInd/>
              <w:snapToGrid/>
              <w:spacing w:line="440" w:lineRule="exact"/>
              <w:textAlignment w:val="auto"/>
              <w:rPr>
                <w:rFonts w:asciiTheme="minorEastAsia" w:hAnsiTheme="minorEastAsia" w:eastAsiaTheme="minorEastAsia"/>
                <w:color w:val="auto"/>
                <w:sz w:val="24"/>
                <w:szCs w:val="24"/>
                <w:highlight w:val="none"/>
              </w:rPr>
            </w:pPr>
          </w:p>
        </w:tc>
      </w:tr>
      <w:tr w14:paraId="3CBA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4B2E8ED1">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vAlign w:val="center"/>
          </w:tcPr>
          <w:p w14:paraId="1F55F8C1">
            <w:pPr>
              <w:pStyle w:val="7"/>
              <w:keepNext w:val="0"/>
              <w:keepLines w:val="0"/>
              <w:pageBreakBefore w:val="0"/>
              <w:widowControl/>
              <w:kinsoku/>
              <w:wordWrap/>
              <w:overflowPunct/>
              <w:topLinePunct w:val="0"/>
              <w:autoSpaceDE/>
              <w:autoSpaceDN/>
              <w:bidi w:val="0"/>
              <w:adjustRightInd/>
              <w:snapToGrid/>
              <w:spacing w:line="440" w:lineRule="exact"/>
              <w:ind w:firstLine="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资格声明</w:t>
            </w:r>
          </w:p>
        </w:tc>
        <w:tc>
          <w:tcPr>
            <w:tcW w:w="1860" w:type="dxa"/>
          </w:tcPr>
          <w:p w14:paraId="66E40F7B">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70B9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3EA2238C">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vAlign w:val="center"/>
          </w:tcPr>
          <w:p w14:paraId="3C652A1D">
            <w:pPr>
              <w:pStyle w:val="7"/>
              <w:keepNext w:val="0"/>
              <w:keepLines w:val="0"/>
              <w:pageBreakBefore w:val="0"/>
              <w:widowControl/>
              <w:kinsoku/>
              <w:wordWrap/>
              <w:overflowPunct/>
              <w:topLinePunct w:val="0"/>
              <w:autoSpaceDE/>
              <w:autoSpaceDN/>
              <w:bidi w:val="0"/>
              <w:adjustRightInd/>
              <w:snapToGrid/>
              <w:spacing w:line="440" w:lineRule="exact"/>
              <w:ind w:firstLine="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开标一览表</w:t>
            </w:r>
          </w:p>
        </w:tc>
        <w:tc>
          <w:tcPr>
            <w:tcW w:w="1860" w:type="dxa"/>
          </w:tcPr>
          <w:p w14:paraId="4B0B9010">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6769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764BAA90">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25DBBA87">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rPr>
              <w:t>法定代表人证明书及法定代表人身份证复印件</w:t>
            </w:r>
          </w:p>
        </w:tc>
        <w:tc>
          <w:tcPr>
            <w:tcW w:w="1860" w:type="dxa"/>
          </w:tcPr>
          <w:p w14:paraId="6701F24C">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3F08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19AB3AB7">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4F4C7CBD">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rPr>
              <w:t>授权委托书及授权委托人身份证复印件</w:t>
            </w:r>
          </w:p>
        </w:tc>
        <w:tc>
          <w:tcPr>
            <w:tcW w:w="1860" w:type="dxa"/>
          </w:tcPr>
          <w:p w14:paraId="3BE1F723">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559D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58B12402">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43E6A094">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rPr>
              <w:t>采购文件中规定的其他资格要求证明材料（按招标公告投标人资格要求提供）</w:t>
            </w:r>
          </w:p>
        </w:tc>
        <w:tc>
          <w:tcPr>
            <w:tcW w:w="1860" w:type="dxa"/>
          </w:tcPr>
          <w:p w14:paraId="669A09BB">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6F3D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vAlign w:val="center"/>
          </w:tcPr>
          <w:p w14:paraId="079CFC7F">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6D784AE9">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rPr>
              <w:t>总公司投标授权书（分支机构适用）</w:t>
            </w:r>
          </w:p>
        </w:tc>
        <w:tc>
          <w:tcPr>
            <w:tcW w:w="1860" w:type="dxa"/>
          </w:tcPr>
          <w:p w14:paraId="4F2AF23C">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3BA8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90" w:type="dxa"/>
            <w:vAlign w:val="center"/>
          </w:tcPr>
          <w:p w14:paraId="194162D8">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28D933E4">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rPr>
              <w:t>招标代理服务费承诺书</w:t>
            </w:r>
          </w:p>
        </w:tc>
        <w:tc>
          <w:tcPr>
            <w:tcW w:w="1860" w:type="dxa"/>
          </w:tcPr>
          <w:p w14:paraId="131CE7D7">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7BD5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90" w:type="dxa"/>
            <w:vAlign w:val="center"/>
          </w:tcPr>
          <w:p w14:paraId="6B8AEB0C">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47C8A378">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rPr>
              <w:t>投标保证金交纳声明函/投标保函（或投标保证保险）交纳声明函</w:t>
            </w:r>
          </w:p>
        </w:tc>
        <w:tc>
          <w:tcPr>
            <w:tcW w:w="1860" w:type="dxa"/>
          </w:tcPr>
          <w:p w14:paraId="6EA1724D">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35DB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90" w:type="dxa"/>
            <w:vAlign w:val="center"/>
          </w:tcPr>
          <w:p w14:paraId="22F85575">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78AABFCE">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rPr>
              <w:t>实质性响应条款一览表</w:t>
            </w:r>
          </w:p>
        </w:tc>
        <w:tc>
          <w:tcPr>
            <w:tcW w:w="1860" w:type="dxa"/>
          </w:tcPr>
          <w:p w14:paraId="0AC80BFE">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32ED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90" w:type="dxa"/>
            <w:vAlign w:val="center"/>
          </w:tcPr>
          <w:p w14:paraId="74C19032">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2CF74361">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lang w:eastAsia="zh-CN"/>
              </w:rPr>
              <w:t>招标人需求</w:t>
            </w:r>
            <w:r>
              <w:rPr>
                <w:rFonts w:hint="eastAsia" w:asciiTheme="minorEastAsia" w:hAnsiTheme="minorEastAsia" w:eastAsiaTheme="minorEastAsia"/>
                <w:color w:val="auto"/>
                <w:sz w:val="24"/>
                <w:szCs w:val="24"/>
                <w:highlight w:val="none"/>
              </w:rPr>
              <w:t>响应一览表</w:t>
            </w:r>
          </w:p>
        </w:tc>
        <w:tc>
          <w:tcPr>
            <w:tcW w:w="1860" w:type="dxa"/>
          </w:tcPr>
          <w:p w14:paraId="3758E4F5">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38A2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90" w:type="dxa"/>
            <w:vAlign w:val="center"/>
          </w:tcPr>
          <w:p w14:paraId="4B3C116F">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5245A0B8">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lang w:val="en-US" w:eastAsia="zh-CN"/>
              </w:rPr>
              <w:t>技术</w:t>
            </w:r>
            <w:r>
              <w:rPr>
                <w:rFonts w:hint="eastAsia" w:asciiTheme="minorEastAsia" w:hAnsiTheme="minorEastAsia" w:eastAsiaTheme="minorEastAsia"/>
                <w:color w:val="auto"/>
                <w:sz w:val="24"/>
                <w:szCs w:val="24"/>
                <w:highlight w:val="none"/>
              </w:rPr>
              <w:t>商务响应文件（投标人自行扩充）</w:t>
            </w:r>
          </w:p>
        </w:tc>
        <w:tc>
          <w:tcPr>
            <w:tcW w:w="1860" w:type="dxa"/>
          </w:tcPr>
          <w:p w14:paraId="726D2BCF">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r w14:paraId="168E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90" w:type="dxa"/>
            <w:vAlign w:val="center"/>
          </w:tcPr>
          <w:p w14:paraId="7FBBF598">
            <w:pPr>
              <w:pStyle w:val="7"/>
              <w:keepNext w:val="0"/>
              <w:keepLines w:val="0"/>
              <w:pageBreakBefore w:val="0"/>
              <w:widowControl/>
              <w:numPr>
                <w:ilvl w:val="0"/>
                <w:numId w:val="28"/>
              </w:numPr>
              <w:kinsoku/>
              <w:wordWrap/>
              <w:overflowPunct/>
              <w:topLinePunct w:val="0"/>
              <w:autoSpaceDE/>
              <w:autoSpaceDN/>
              <w:bidi w:val="0"/>
              <w:adjustRightInd/>
              <w:snapToGrid/>
              <w:spacing w:line="440" w:lineRule="exact"/>
              <w:jc w:val="center"/>
              <w:textAlignment w:val="auto"/>
              <w:rPr>
                <w:rFonts w:asciiTheme="minorEastAsia" w:hAnsiTheme="minorEastAsia" w:eastAsiaTheme="minorEastAsia"/>
                <w:b/>
                <w:bCs/>
                <w:color w:val="auto"/>
                <w:sz w:val="24"/>
                <w:szCs w:val="24"/>
                <w:highlight w:val="none"/>
              </w:rPr>
            </w:pPr>
          </w:p>
        </w:tc>
        <w:tc>
          <w:tcPr>
            <w:tcW w:w="6400" w:type="dxa"/>
            <w:shd w:val="clear" w:color="auto" w:fill="auto"/>
            <w:vAlign w:val="center"/>
          </w:tcPr>
          <w:p w14:paraId="7BD1631F">
            <w:pPr>
              <w:pStyle w:val="7"/>
              <w:keepNext w:val="0"/>
              <w:keepLines w:val="0"/>
              <w:pageBreakBefore w:val="0"/>
              <w:widowControl/>
              <w:kinsoku/>
              <w:wordWrap/>
              <w:overflowPunct/>
              <w:topLinePunct w:val="0"/>
              <w:autoSpaceDE/>
              <w:autoSpaceDN/>
              <w:bidi w:val="0"/>
              <w:adjustRightInd/>
              <w:snapToGrid/>
              <w:spacing w:line="440" w:lineRule="exact"/>
              <w:ind w:firstLine="0" w:firstLineChars="0"/>
              <w:jc w:val="both"/>
              <w:textAlignment w:val="auto"/>
              <w:rPr>
                <w:rFonts w:cs="Times New Roman" w:asciiTheme="minorEastAsia" w:hAnsiTheme="minorEastAsia" w:eastAsiaTheme="minorEastAsia"/>
                <w:color w:val="auto"/>
                <w:sz w:val="24"/>
                <w:szCs w:val="24"/>
                <w:highlight w:val="none"/>
                <w:lang w:val="en-US" w:eastAsia="zh-CN" w:bidi="ar-SA"/>
              </w:rPr>
            </w:pPr>
            <w:r>
              <w:rPr>
                <w:rFonts w:hint="eastAsia" w:asciiTheme="minorEastAsia" w:hAnsiTheme="minorEastAsia" w:eastAsiaTheme="minorEastAsia"/>
                <w:color w:val="auto"/>
                <w:sz w:val="24"/>
                <w:szCs w:val="24"/>
                <w:highlight w:val="none"/>
              </w:rPr>
              <w:t>投标人认为有必要说明的其他资料</w:t>
            </w:r>
          </w:p>
        </w:tc>
        <w:tc>
          <w:tcPr>
            <w:tcW w:w="1860" w:type="dxa"/>
          </w:tcPr>
          <w:p w14:paraId="457FABBB">
            <w:pPr>
              <w:pStyle w:val="7"/>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Theme="minorEastAsia" w:hAnsiTheme="minorEastAsia" w:eastAsiaTheme="minorEastAsia"/>
                <w:color w:val="auto"/>
                <w:sz w:val="24"/>
                <w:szCs w:val="24"/>
                <w:highlight w:val="none"/>
              </w:rPr>
            </w:pPr>
          </w:p>
        </w:tc>
      </w:tr>
    </w:tbl>
    <w:p w14:paraId="235271B7">
      <w:pPr>
        <w:pStyle w:val="19"/>
        <w:spacing w:line="480" w:lineRule="auto"/>
        <w:jc w:val="center"/>
        <w:rPr>
          <w:rFonts w:asciiTheme="minorEastAsia" w:hAnsiTheme="minorEastAsia" w:eastAsiaTheme="minorEastAsia"/>
          <w:b/>
          <w:bCs/>
          <w:color w:val="auto"/>
          <w:sz w:val="28"/>
          <w:szCs w:val="28"/>
          <w:highlight w:val="none"/>
        </w:rPr>
      </w:pPr>
      <w:r>
        <w:rPr>
          <w:rFonts w:hint="eastAsia" w:asciiTheme="minorEastAsia" w:hAnsiTheme="minorEastAsia" w:eastAsiaTheme="minorEastAsia"/>
          <w:b/>
          <w:bCs/>
          <w:color w:val="auto"/>
          <w:sz w:val="28"/>
          <w:szCs w:val="28"/>
          <w:highlight w:val="none"/>
        </w:rPr>
        <w:t>特别提示与要求</w:t>
      </w:r>
    </w:p>
    <w:p w14:paraId="3474C55F">
      <w:pPr>
        <w:pStyle w:val="102"/>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请</w:t>
      </w:r>
      <w:r>
        <w:rPr>
          <w:rFonts w:hint="eastAsia" w:asciiTheme="minorEastAsia" w:hAnsiTheme="minorEastAsia" w:eastAsiaTheme="minorEastAsia"/>
          <w:color w:val="auto"/>
          <w:sz w:val="24"/>
          <w:szCs w:val="24"/>
          <w:highlight w:val="none"/>
        </w:rPr>
        <w:t>投标人</w:t>
      </w:r>
      <w:r>
        <w:rPr>
          <w:rFonts w:hint="eastAsia" w:asciiTheme="minorEastAsia" w:hAnsiTheme="minorEastAsia" w:eastAsiaTheme="minorEastAsia"/>
          <w:color w:val="auto"/>
          <w:kern w:val="0"/>
          <w:sz w:val="24"/>
          <w:szCs w:val="24"/>
          <w:highlight w:val="none"/>
        </w:rPr>
        <w:t>严格按照表格内容及要求制作投标文件，所有证书类文件提供复印件且必须在有效期内。</w:t>
      </w:r>
      <w:r>
        <w:rPr>
          <w:rFonts w:hint="eastAsia" w:asciiTheme="minorEastAsia" w:hAnsiTheme="minorEastAsia" w:eastAsiaTheme="minorEastAsia"/>
          <w:b/>
          <w:bCs/>
          <w:color w:val="auto"/>
          <w:sz w:val="28"/>
          <w:szCs w:val="28"/>
          <w:highlight w:val="none"/>
        </w:rPr>
        <w:t xml:space="preserve"> </w:t>
      </w:r>
    </w:p>
    <w:p w14:paraId="466D76DF">
      <w:pPr>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b/>
          <w:color w:val="auto"/>
          <w:sz w:val="24"/>
          <w:szCs w:val="24"/>
          <w:highlight w:val="none"/>
          <w:lang w:val="en-GB"/>
        </w:rPr>
        <w:br w:type="page"/>
      </w:r>
      <w:r>
        <w:rPr>
          <w:rFonts w:hint="eastAsia" w:asciiTheme="minorEastAsia" w:hAnsiTheme="minorEastAsia" w:eastAsiaTheme="minorEastAsia"/>
          <w:b/>
          <w:bCs/>
          <w:color w:val="auto"/>
          <w:sz w:val="24"/>
          <w:highlight w:val="none"/>
        </w:rPr>
        <w:t>附件1：</w:t>
      </w:r>
    </w:p>
    <w:p w14:paraId="705EBF0E">
      <w:pPr>
        <w:spacing w:line="360" w:lineRule="auto"/>
        <w:jc w:val="center"/>
        <w:rPr>
          <w:rFonts w:asciiTheme="minorEastAsia" w:hAnsiTheme="minorEastAsia" w:eastAsiaTheme="minorEastAsia"/>
          <w:b/>
          <w:bCs/>
          <w:color w:val="auto"/>
          <w:sz w:val="24"/>
          <w:highlight w:val="none"/>
          <w:lang w:val="zh-CN"/>
        </w:rPr>
      </w:pPr>
      <w:r>
        <w:rPr>
          <w:rFonts w:hint="eastAsia" w:asciiTheme="minorEastAsia" w:hAnsiTheme="minorEastAsia" w:eastAsiaTheme="minorEastAsia"/>
          <w:b/>
          <w:bCs/>
          <w:color w:val="auto"/>
          <w:sz w:val="38"/>
          <w:szCs w:val="38"/>
          <w:highlight w:val="none"/>
        </w:rPr>
        <w:t>无重大违法记录声明</w:t>
      </w:r>
    </w:p>
    <w:p w14:paraId="676D4DD1">
      <w:pPr>
        <w:spacing w:line="360" w:lineRule="auto"/>
        <w:rPr>
          <w:rFonts w:cs="宋体" w:asciiTheme="minorEastAsia" w:hAnsiTheme="minorEastAsia" w:eastAsiaTheme="minorEastAsia"/>
          <w:color w:val="auto"/>
          <w:sz w:val="24"/>
          <w:szCs w:val="21"/>
          <w:highlight w:val="none"/>
        </w:rPr>
      </w:pPr>
    </w:p>
    <w:p w14:paraId="07AB45B7">
      <w:pPr>
        <w:spacing w:line="360" w:lineRule="auto"/>
        <w:rPr>
          <w:rFonts w:hint="eastAsia" w:cs="宋体" w:asciiTheme="minorEastAsia" w:hAnsiTheme="minorEastAsia" w:eastAsiaTheme="minorEastAsia"/>
          <w:b/>
          <w:bCs/>
          <w:color w:val="auto"/>
          <w:sz w:val="24"/>
          <w:szCs w:val="21"/>
          <w:highlight w:val="none"/>
          <w:lang w:eastAsia="zh-CN"/>
        </w:rPr>
      </w:pPr>
      <w:r>
        <w:rPr>
          <w:rFonts w:hint="eastAsia" w:cs="宋体" w:asciiTheme="minorEastAsia" w:hAnsiTheme="minorEastAsia" w:eastAsiaTheme="minorEastAsia"/>
          <w:color w:val="auto"/>
          <w:sz w:val="24"/>
          <w:szCs w:val="21"/>
          <w:highlight w:val="none"/>
        </w:rPr>
        <w:t>致：</w:t>
      </w:r>
      <w:r>
        <w:rPr>
          <w:rFonts w:hint="eastAsia" w:cs="宋体" w:asciiTheme="minorEastAsia" w:hAnsiTheme="minorEastAsia" w:eastAsiaTheme="minorEastAsia"/>
          <w:b/>
          <w:bCs/>
          <w:color w:val="auto"/>
          <w:sz w:val="24"/>
          <w:szCs w:val="21"/>
          <w:highlight w:val="none"/>
          <w:lang w:eastAsia="zh-CN"/>
        </w:rPr>
        <w:t>广州市农科所科技发展有限公司</w:t>
      </w:r>
      <w:r>
        <w:rPr>
          <w:rFonts w:hint="eastAsia" w:cs="宋体" w:asciiTheme="minorEastAsia" w:hAnsiTheme="minorEastAsia" w:eastAsiaTheme="minorEastAsia"/>
          <w:b/>
          <w:bCs/>
          <w:color w:val="auto"/>
          <w:sz w:val="24"/>
          <w:szCs w:val="21"/>
          <w:highlight w:val="none"/>
        </w:rPr>
        <w:t>/</w:t>
      </w:r>
      <w:r>
        <w:rPr>
          <w:rFonts w:hint="eastAsia" w:cs="宋体" w:asciiTheme="minorEastAsia" w:hAnsiTheme="minorEastAsia" w:eastAsiaTheme="minorEastAsia"/>
          <w:b/>
          <w:bCs/>
          <w:color w:val="auto"/>
          <w:sz w:val="24"/>
          <w:szCs w:val="21"/>
          <w:highlight w:val="none"/>
          <w:lang w:eastAsia="zh-CN"/>
        </w:rPr>
        <w:t>广州众源建设管理有限公司</w:t>
      </w:r>
    </w:p>
    <w:p w14:paraId="394619A7">
      <w:pPr>
        <w:spacing w:line="360" w:lineRule="auto"/>
        <w:ind w:firstLine="480" w:firstLineChars="200"/>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我方目前未被“</w:t>
      </w:r>
      <w:r>
        <w:rPr>
          <w:rFonts w:hint="eastAsia" w:asciiTheme="minorEastAsia" w:hAnsiTheme="minorEastAsia" w:eastAsiaTheme="minorEastAsia"/>
          <w:color w:val="auto"/>
          <w:kern w:val="2"/>
          <w:sz w:val="24"/>
          <w:szCs w:val="24"/>
          <w:highlight w:val="none"/>
        </w:rPr>
        <w:t>国家</w:t>
      </w:r>
      <w:r>
        <w:rPr>
          <w:rFonts w:hint="eastAsia" w:asciiTheme="minorEastAsia" w:hAnsiTheme="minorEastAsia" w:eastAsiaTheme="minorEastAsia"/>
          <w:color w:val="auto"/>
          <w:kern w:val="2"/>
          <w:sz w:val="24"/>
          <w:szCs w:val="24"/>
          <w:highlight w:val="none"/>
          <w:lang w:val="en-GB"/>
        </w:rPr>
        <w:t>企业信用信息公示系统”（网址：http://www.gsxt.gov.cn/）列入经营异常名录和严重违法企业名单。</w:t>
      </w:r>
    </w:p>
    <w:p w14:paraId="23695858">
      <w:pPr>
        <w:spacing w:line="360" w:lineRule="auto"/>
        <w:ind w:firstLine="480" w:firstLineChars="200"/>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我公司</w:t>
      </w:r>
      <w:r>
        <w:rPr>
          <w:rFonts w:hint="eastAsia" w:asciiTheme="minorEastAsia" w:hAnsiTheme="minorEastAsia" w:eastAsiaTheme="minorEastAsia"/>
          <w:color w:val="auto"/>
          <w:kern w:val="2"/>
          <w:sz w:val="24"/>
          <w:szCs w:val="24"/>
          <w:highlight w:val="none"/>
        </w:rPr>
        <w:t>在参加本项目招标活动前3年内</w:t>
      </w:r>
      <w:r>
        <w:rPr>
          <w:rFonts w:hint="eastAsia" w:asciiTheme="minorEastAsia" w:hAnsiTheme="minorEastAsia" w:eastAsiaTheme="minorEastAsia"/>
          <w:color w:val="auto"/>
          <w:kern w:val="2"/>
          <w:sz w:val="24"/>
          <w:szCs w:val="24"/>
          <w:highlight w:val="none"/>
          <w:lang w:val="en-GB"/>
        </w:rPr>
        <w:t>在投标活动中没有重大违法记录。</w:t>
      </w:r>
    </w:p>
    <w:p w14:paraId="79080972">
      <w:pPr>
        <w:spacing w:line="360" w:lineRule="auto"/>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 xml:space="preserve">    特此声明。</w:t>
      </w:r>
    </w:p>
    <w:p w14:paraId="4D8162D8">
      <w:pPr>
        <w:spacing w:line="360" w:lineRule="auto"/>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 xml:space="preserve">    如果以上声明不真实，我方承担虚假投标的责任，中标无效，并按法律、法规的规定接受处罚。</w:t>
      </w:r>
    </w:p>
    <w:p w14:paraId="7E3AF46A">
      <w:pPr>
        <w:spacing w:line="360" w:lineRule="auto"/>
        <w:rPr>
          <w:rFonts w:asciiTheme="minorEastAsia" w:hAnsiTheme="minorEastAsia" w:eastAsiaTheme="minorEastAsia"/>
          <w:color w:val="auto"/>
          <w:kern w:val="2"/>
          <w:sz w:val="24"/>
          <w:szCs w:val="24"/>
          <w:highlight w:val="none"/>
          <w:lang w:val="en-GB"/>
        </w:rPr>
      </w:pPr>
    </w:p>
    <w:p w14:paraId="436F4437">
      <w:pPr>
        <w:spacing w:line="360" w:lineRule="auto"/>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附件：网页截图</w:t>
      </w:r>
    </w:p>
    <w:p w14:paraId="673C5C27">
      <w:pPr>
        <w:spacing w:line="360" w:lineRule="auto"/>
        <w:rPr>
          <w:rFonts w:asciiTheme="minorEastAsia" w:hAnsiTheme="minorEastAsia" w:eastAsiaTheme="minorEastAsia"/>
          <w:color w:val="auto"/>
          <w:kern w:val="2"/>
          <w:sz w:val="24"/>
          <w:szCs w:val="24"/>
          <w:highlight w:val="none"/>
          <w:lang w:val="en-GB"/>
        </w:rPr>
      </w:pPr>
    </w:p>
    <w:p w14:paraId="44B48F28">
      <w:pPr>
        <w:spacing w:line="360" w:lineRule="auto"/>
        <w:rPr>
          <w:rFonts w:asciiTheme="minorEastAsia" w:hAnsiTheme="minorEastAsia" w:eastAsiaTheme="minorEastAsia"/>
          <w:color w:val="auto"/>
          <w:kern w:val="2"/>
          <w:sz w:val="24"/>
          <w:szCs w:val="24"/>
          <w:highlight w:val="none"/>
          <w:lang w:val="en-GB"/>
        </w:rPr>
      </w:pPr>
    </w:p>
    <w:p w14:paraId="39993891">
      <w:pPr>
        <w:spacing w:line="360" w:lineRule="auto"/>
        <w:rPr>
          <w:rFonts w:asciiTheme="minorEastAsia" w:hAnsiTheme="minorEastAsia" w:eastAsiaTheme="minorEastAsia"/>
          <w:color w:val="auto"/>
          <w:kern w:val="2"/>
          <w:sz w:val="24"/>
          <w:szCs w:val="24"/>
          <w:highlight w:val="none"/>
          <w:lang w:val="en-GB"/>
        </w:rPr>
      </w:pPr>
    </w:p>
    <w:p w14:paraId="689A780F">
      <w:pPr>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 xml:space="preserve">                                        投标人名称（加盖公章）： </w:t>
      </w:r>
    </w:p>
    <w:p w14:paraId="5F71F0D1">
      <w:pPr>
        <w:tabs>
          <w:tab w:val="left" w:pos="6096"/>
        </w:tabs>
        <w:ind w:right="2760"/>
        <w:jc w:val="right"/>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日期：年  月  日</w:t>
      </w:r>
    </w:p>
    <w:p w14:paraId="42C7BA3D">
      <w:pPr>
        <w:rPr>
          <w:rFonts w:asciiTheme="minorEastAsia" w:hAnsiTheme="minorEastAsia" w:eastAsiaTheme="minorEastAsia"/>
          <w:color w:val="auto"/>
          <w:sz w:val="24"/>
          <w:highlight w:val="none"/>
        </w:rPr>
      </w:pPr>
    </w:p>
    <w:p w14:paraId="418DD25C">
      <w:pP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br w:type="page"/>
      </w:r>
      <w:r>
        <w:rPr>
          <w:rFonts w:hint="eastAsia" w:asciiTheme="minorEastAsia" w:hAnsiTheme="minorEastAsia" w:eastAsiaTheme="minorEastAsia"/>
          <w:b/>
          <w:bCs/>
          <w:color w:val="auto"/>
          <w:sz w:val="24"/>
          <w:highlight w:val="none"/>
        </w:rPr>
        <w:t>附件2：</w:t>
      </w:r>
    </w:p>
    <w:p w14:paraId="19E5D234">
      <w:pPr>
        <w:jc w:val="center"/>
        <w:rPr>
          <w:rFonts w:cs="宋体" w:asciiTheme="minorEastAsia" w:hAnsiTheme="minorEastAsia" w:eastAsiaTheme="minorEastAsia"/>
          <w:b/>
          <w:bCs/>
          <w:color w:val="auto"/>
          <w:sz w:val="38"/>
          <w:szCs w:val="38"/>
          <w:highlight w:val="none"/>
        </w:rPr>
      </w:pPr>
      <w:r>
        <w:rPr>
          <w:rFonts w:hint="eastAsia" w:cs="宋体" w:asciiTheme="minorEastAsia" w:hAnsiTheme="minorEastAsia" w:eastAsiaTheme="minorEastAsia"/>
          <w:b/>
          <w:bCs/>
          <w:color w:val="auto"/>
          <w:sz w:val="38"/>
          <w:szCs w:val="38"/>
          <w:highlight w:val="none"/>
        </w:rPr>
        <w:t>信用记录承诺函</w:t>
      </w:r>
    </w:p>
    <w:p w14:paraId="514F7D09">
      <w:pPr>
        <w:spacing w:line="360" w:lineRule="auto"/>
        <w:rPr>
          <w:rFonts w:asciiTheme="minorEastAsia" w:hAnsiTheme="minorEastAsia" w:eastAsiaTheme="minorEastAsia"/>
          <w:color w:val="auto"/>
          <w:kern w:val="2"/>
          <w:sz w:val="24"/>
          <w:szCs w:val="24"/>
          <w:highlight w:val="none"/>
          <w:lang w:val="en-GB"/>
        </w:rPr>
      </w:pPr>
    </w:p>
    <w:p w14:paraId="09C3E981">
      <w:pPr>
        <w:spacing w:line="360" w:lineRule="auto"/>
        <w:rPr>
          <w:rFonts w:hint="eastAsia" w:asciiTheme="minorEastAsia" w:hAnsiTheme="minorEastAsia" w:eastAsiaTheme="minorEastAsia"/>
          <w:color w:val="auto"/>
          <w:kern w:val="2"/>
          <w:sz w:val="24"/>
          <w:szCs w:val="24"/>
          <w:highlight w:val="none"/>
          <w:lang w:val="en-GB" w:eastAsia="zh-CN"/>
        </w:rPr>
      </w:pPr>
      <w:r>
        <w:rPr>
          <w:rFonts w:hint="eastAsia" w:asciiTheme="minorEastAsia" w:hAnsiTheme="minorEastAsia" w:eastAsiaTheme="minorEastAsia"/>
          <w:color w:val="auto"/>
          <w:kern w:val="2"/>
          <w:sz w:val="24"/>
          <w:szCs w:val="24"/>
          <w:highlight w:val="none"/>
          <w:lang w:val="en-GB"/>
        </w:rPr>
        <w:t>致：</w:t>
      </w:r>
      <w:r>
        <w:rPr>
          <w:rFonts w:hint="eastAsia" w:cs="宋体" w:asciiTheme="minorEastAsia" w:hAnsiTheme="minorEastAsia" w:eastAsiaTheme="minorEastAsia"/>
          <w:b/>
          <w:bCs/>
          <w:color w:val="auto"/>
          <w:sz w:val="24"/>
          <w:szCs w:val="21"/>
          <w:highlight w:val="none"/>
          <w:lang w:val="en-GB" w:eastAsia="zh-CN"/>
        </w:rPr>
        <w:t>广州市农科所科技发展有限公司</w:t>
      </w:r>
      <w:r>
        <w:rPr>
          <w:rFonts w:hint="eastAsia" w:cs="宋体" w:asciiTheme="minorEastAsia" w:hAnsiTheme="minorEastAsia" w:eastAsiaTheme="minorEastAsia"/>
          <w:b/>
          <w:bCs/>
          <w:color w:val="auto"/>
          <w:sz w:val="24"/>
          <w:szCs w:val="21"/>
          <w:highlight w:val="none"/>
        </w:rPr>
        <w:t>/</w:t>
      </w:r>
      <w:r>
        <w:rPr>
          <w:rFonts w:hint="eastAsia" w:cs="宋体" w:asciiTheme="minorEastAsia" w:hAnsiTheme="minorEastAsia" w:eastAsiaTheme="minorEastAsia"/>
          <w:b/>
          <w:bCs/>
          <w:color w:val="auto"/>
          <w:sz w:val="24"/>
          <w:szCs w:val="21"/>
          <w:highlight w:val="none"/>
          <w:lang w:eastAsia="zh-CN"/>
        </w:rPr>
        <w:t>广州众源建设管理有限公司</w:t>
      </w:r>
    </w:p>
    <w:p w14:paraId="794C7E67">
      <w:pPr>
        <w:spacing w:line="360" w:lineRule="auto"/>
        <w:ind w:firstLine="480" w:firstLineChars="200"/>
        <w:jc w:val="both"/>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我方郑重承诺，在参与</w:t>
      </w:r>
      <w:r>
        <w:rPr>
          <w:rFonts w:hint="eastAsia" w:asciiTheme="minorEastAsia" w:hAnsiTheme="minorEastAsia" w:eastAsiaTheme="minorEastAsia"/>
          <w:color w:val="auto"/>
          <w:kern w:val="2"/>
          <w:sz w:val="24"/>
          <w:szCs w:val="24"/>
          <w:highlight w:val="none"/>
          <w:u w:val="single"/>
          <w:lang w:val="en-GB" w:eastAsia="zh-CN"/>
        </w:rPr>
        <w:t>广州市农科院鲜蔬火锅餐厅VI品牌策划设计全案整装招标</w:t>
      </w:r>
      <w:r>
        <w:rPr>
          <w:rFonts w:hint="eastAsia" w:asciiTheme="minorEastAsia" w:hAnsiTheme="minorEastAsia" w:eastAsiaTheme="minorEastAsia"/>
          <w:color w:val="auto"/>
          <w:kern w:val="2"/>
          <w:sz w:val="24"/>
          <w:szCs w:val="24"/>
          <w:highlight w:val="none"/>
          <w:u w:val="single"/>
          <w:lang w:val="en-GB"/>
        </w:rPr>
        <w:t>（项目编号：</w:t>
      </w:r>
      <w:r>
        <w:rPr>
          <w:rFonts w:hint="eastAsia" w:asciiTheme="minorEastAsia" w:hAnsiTheme="minorEastAsia" w:eastAsiaTheme="minorEastAsia"/>
          <w:color w:val="auto"/>
          <w:kern w:val="2"/>
          <w:sz w:val="24"/>
          <w:szCs w:val="24"/>
          <w:highlight w:val="none"/>
          <w:u w:val="single"/>
          <w:lang w:val="en-GB" w:eastAsia="zh-CN"/>
        </w:rPr>
        <w:t>ZYNK20250501</w:t>
      </w:r>
      <w:r>
        <w:rPr>
          <w:rFonts w:hint="eastAsia" w:asciiTheme="minorEastAsia" w:hAnsiTheme="minorEastAsia" w:eastAsiaTheme="minorEastAsia"/>
          <w:color w:val="auto"/>
          <w:kern w:val="2"/>
          <w:sz w:val="24"/>
          <w:szCs w:val="24"/>
          <w:highlight w:val="none"/>
          <w:u w:val="single"/>
          <w:lang w:val="en-GB"/>
        </w:rPr>
        <w:t>）</w:t>
      </w:r>
      <w:r>
        <w:rPr>
          <w:rFonts w:hint="eastAsia" w:asciiTheme="minorEastAsia" w:hAnsiTheme="minorEastAsia" w:eastAsiaTheme="minorEastAsia"/>
          <w:color w:val="auto"/>
          <w:kern w:val="2"/>
          <w:sz w:val="24"/>
          <w:szCs w:val="24"/>
          <w:highlight w:val="none"/>
          <w:lang w:val="en-GB"/>
        </w:rPr>
        <w:t>采购期间，未被列入“信用中国”网站(www.creditchina.gov.cn)中“失信被执行人或重大税收违法案件当事人名单</w:t>
      </w:r>
      <w:r>
        <w:rPr>
          <w:rFonts w:hint="eastAsia" w:ascii="宋体" w:hAnsi="宋体" w:cs="Arial"/>
          <w:color w:val="auto"/>
          <w:sz w:val="24"/>
          <w:szCs w:val="24"/>
          <w:highlight w:val="none"/>
        </w:rPr>
        <w:t>（重大税收违法失信主体</w:t>
      </w:r>
      <w:r>
        <w:rPr>
          <w:rFonts w:ascii="宋体" w:hAnsi="宋体" w:cs="Arial"/>
          <w:color w:val="auto"/>
          <w:sz w:val="24"/>
          <w:szCs w:val="24"/>
          <w:highlight w:val="none"/>
        </w:rPr>
        <w:t>）</w:t>
      </w:r>
      <w:r>
        <w:rPr>
          <w:rFonts w:hint="eastAsia" w:asciiTheme="minorEastAsia" w:hAnsiTheme="minorEastAsia" w:eastAsiaTheme="minorEastAsia"/>
          <w:color w:val="auto"/>
          <w:kern w:val="2"/>
          <w:sz w:val="24"/>
          <w:szCs w:val="24"/>
          <w:highlight w:val="none"/>
          <w:lang w:val="en-GB"/>
        </w:rPr>
        <w:t>或政府采购严重违法失信行为”的记录名单；不处于中国政府采购网(www.ccgp.gov.cn)“政府采购严重违法失信行为信息记录”中的禁止参加政府采购活动期间。</w:t>
      </w:r>
    </w:p>
    <w:p w14:paraId="0C4EE779">
      <w:pPr>
        <w:spacing w:line="360" w:lineRule="auto"/>
        <w:ind w:firstLine="480" w:firstLineChars="200"/>
        <w:jc w:val="both"/>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（附我方在上述网站查询结果截图）</w:t>
      </w:r>
    </w:p>
    <w:p w14:paraId="56925D8E">
      <w:pPr>
        <w:spacing w:line="360" w:lineRule="auto"/>
        <w:jc w:val="right"/>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 xml:space="preserve">投标人名称（加盖公章）： </w:t>
      </w:r>
    </w:p>
    <w:p w14:paraId="7534F133">
      <w:pPr>
        <w:spacing w:line="360" w:lineRule="auto"/>
        <w:jc w:val="right"/>
        <w:rPr>
          <w:rFonts w:asciiTheme="minorEastAsia" w:hAnsiTheme="minorEastAsia" w:eastAsiaTheme="minorEastAsia"/>
          <w:color w:val="auto"/>
          <w:kern w:val="2"/>
          <w:sz w:val="24"/>
          <w:szCs w:val="24"/>
          <w:highlight w:val="none"/>
          <w:lang w:val="en-GB"/>
        </w:rPr>
      </w:pPr>
      <w:r>
        <w:rPr>
          <w:rFonts w:hint="eastAsia" w:asciiTheme="minorEastAsia" w:hAnsiTheme="minorEastAsia" w:eastAsiaTheme="minorEastAsia"/>
          <w:color w:val="auto"/>
          <w:kern w:val="2"/>
          <w:sz w:val="24"/>
          <w:szCs w:val="24"/>
          <w:highlight w:val="none"/>
          <w:lang w:val="en-GB"/>
        </w:rPr>
        <w:t>年  月  日</w:t>
      </w:r>
    </w:p>
    <w:p w14:paraId="560F0A92">
      <w:pP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注：</w:t>
      </w:r>
    </w:p>
    <w:p w14:paraId="6F40832B">
      <w:pP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1、网站截图为“信用中国”网站（www.creditchina.gov.cn）及中国政府采购网(www.ccgp.gov.cn)查询结果页面。信用记录承诺必须附网站截图。</w:t>
      </w:r>
    </w:p>
    <w:p w14:paraId="270106D8">
      <w:pPr>
        <w:rPr>
          <w:rFonts w:asciiTheme="minorEastAsia" w:hAnsiTheme="minorEastAsia" w:eastAsiaTheme="minorEastAsia"/>
          <w:b/>
          <w:color w:val="auto"/>
          <w:sz w:val="24"/>
          <w:highlight w:val="none"/>
        </w:rPr>
      </w:pPr>
    </w:p>
    <w:p w14:paraId="30531519">
      <w:pP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 xml:space="preserve">2、截图中应显示网站域名，页面信息必须明确显示参与本项目的企业全称 </w:t>
      </w:r>
    </w:p>
    <w:p w14:paraId="026E911B">
      <w:pPr>
        <w:rPr>
          <w:rFonts w:asciiTheme="minorEastAsia" w:hAnsiTheme="minorEastAsia" w:eastAsiaTheme="minorEastAsia"/>
          <w:b/>
          <w:color w:val="auto"/>
          <w:sz w:val="24"/>
          <w:highlight w:val="none"/>
        </w:rPr>
      </w:pPr>
    </w:p>
    <w:p w14:paraId="441BA2C2">
      <w:pPr>
        <w:rPr>
          <w:rFonts w:asciiTheme="minorEastAsia" w:hAnsiTheme="minorEastAsia" w:eastAsiaTheme="minorEastAsia"/>
          <w:b/>
          <w:color w:val="auto"/>
          <w:sz w:val="24"/>
          <w:highlight w:val="none"/>
        </w:rPr>
      </w:pPr>
    </w:p>
    <w:p w14:paraId="3B85C677">
      <w:pP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附件：</w:t>
      </w:r>
    </w:p>
    <w:p w14:paraId="44089D52">
      <w:pPr>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“信用中国”及中国政府采购网网页截图</w:t>
      </w:r>
      <w:r>
        <w:rPr>
          <w:rFonts w:hint="eastAsia" w:asciiTheme="minorEastAsia" w:hAnsiTheme="minorEastAsia" w:eastAsiaTheme="minorEastAsia"/>
          <w:color w:val="auto"/>
          <w:sz w:val="24"/>
          <w:highlight w:val="none"/>
        </w:rPr>
        <w:br w:type="page"/>
      </w:r>
    </w:p>
    <w:p w14:paraId="50045832">
      <w:pPr>
        <w:rPr>
          <w:rFonts w:asciiTheme="minorEastAsia" w:hAnsiTheme="minorEastAsia" w:eastAsiaTheme="minorEastAsia"/>
          <w:b/>
          <w:bCs/>
          <w:color w:val="auto"/>
          <w:sz w:val="24"/>
          <w:highlight w:val="none"/>
        </w:rPr>
      </w:pPr>
      <w:bookmarkStart w:id="353" w:name="_Toc500968976"/>
      <w:bookmarkStart w:id="354" w:name="_Toc500755637"/>
      <w:r>
        <w:rPr>
          <w:rFonts w:hint="eastAsia" w:asciiTheme="minorEastAsia" w:hAnsiTheme="minorEastAsia" w:eastAsiaTheme="minorEastAsia"/>
          <w:b/>
          <w:bCs/>
          <w:color w:val="auto"/>
          <w:sz w:val="24"/>
          <w:highlight w:val="none"/>
        </w:rPr>
        <w:t>附件3：</w:t>
      </w:r>
      <w:bookmarkEnd w:id="353"/>
      <w:bookmarkEnd w:id="354"/>
    </w:p>
    <w:p w14:paraId="683796D3">
      <w:pPr>
        <w:jc w:val="center"/>
        <w:rPr>
          <w:rFonts w:asciiTheme="minorEastAsia" w:hAnsiTheme="minorEastAsia" w:eastAsiaTheme="minorEastAsia"/>
          <w:b/>
          <w:bCs/>
          <w:color w:val="auto"/>
          <w:sz w:val="38"/>
          <w:szCs w:val="38"/>
          <w:highlight w:val="none"/>
        </w:rPr>
      </w:pPr>
      <w:bookmarkStart w:id="355" w:name="_Toc500968977"/>
      <w:bookmarkStart w:id="356" w:name="_Toc500755638"/>
      <w:r>
        <w:rPr>
          <w:rFonts w:hint="eastAsia" w:asciiTheme="minorEastAsia" w:hAnsiTheme="minorEastAsia" w:eastAsiaTheme="minorEastAsia"/>
          <w:b/>
          <w:bCs/>
          <w:color w:val="auto"/>
          <w:sz w:val="38"/>
          <w:szCs w:val="38"/>
          <w:highlight w:val="none"/>
        </w:rPr>
        <w:t>公平竞争承诺书</w:t>
      </w:r>
      <w:bookmarkEnd w:id="355"/>
      <w:bookmarkEnd w:id="356"/>
    </w:p>
    <w:p w14:paraId="7F43E65E">
      <w:pPr>
        <w:rPr>
          <w:rFonts w:cs="宋体" w:asciiTheme="minorEastAsia" w:hAnsiTheme="minorEastAsia" w:eastAsiaTheme="minorEastAsia"/>
          <w:color w:val="auto"/>
          <w:sz w:val="24"/>
          <w:szCs w:val="21"/>
          <w:highlight w:val="none"/>
        </w:rPr>
      </w:pPr>
      <w:r>
        <w:rPr>
          <w:rFonts w:hint="eastAsia" w:cs="Calibri" w:asciiTheme="minorEastAsia" w:hAnsiTheme="minorEastAsia" w:eastAsiaTheme="minorEastAsia"/>
          <w:color w:val="auto"/>
          <w:sz w:val="24"/>
          <w:szCs w:val="21"/>
          <w:highlight w:val="none"/>
        </w:rPr>
        <w:t> </w:t>
      </w:r>
    </w:p>
    <w:p w14:paraId="1A4351AB">
      <w:pPr>
        <w:rPr>
          <w:rFonts w:hint="eastAsia" w:cs="宋体" w:asciiTheme="minorEastAsia" w:hAnsiTheme="minorEastAsia" w:eastAsiaTheme="minorEastAsia"/>
          <w:b/>
          <w:bCs/>
          <w:color w:val="auto"/>
          <w:sz w:val="24"/>
          <w:szCs w:val="21"/>
          <w:highlight w:val="none"/>
          <w:lang w:eastAsia="zh-CN"/>
        </w:rPr>
      </w:pPr>
      <w:r>
        <w:rPr>
          <w:rFonts w:hint="eastAsia" w:cs="宋体" w:asciiTheme="minorEastAsia" w:hAnsiTheme="minorEastAsia" w:eastAsiaTheme="minorEastAsia"/>
          <w:color w:val="auto"/>
          <w:sz w:val="24"/>
          <w:szCs w:val="21"/>
          <w:highlight w:val="none"/>
        </w:rPr>
        <w:t>致：</w:t>
      </w:r>
      <w:r>
        <w:rPr>
          <w:rFonts w:hint="eastAsia" w:cs="宋体" w:asciiTheme="minorEastAsia" w:hAnsiTheme="minorEastAsia" w:eastAsiaTheme="minorEastAsia"/>
          <w:b/>
          <w:bCs/>
          <w:color w:val="auto"/>
          <w:sz w:val="24"/>
          <w:szCs w:val="21"/>
          <w:highlight w:val="none"/>
          <w:lang w:val="en-GB" w:eastAsia="zh-CN"/>
        </w:rPr>
        <w:t>广州市农科所科技发展有限公司</w:t>
      </w:r>
      <w:r>
        <w:rPr>
          <w:rFonts w:hint="eastAsia" w:cs="宋体" w:asciiTheme="minorEastAsia" w:hAnsiTheme="minorEastAsia" w:eastAsiaTheme="minorEastAsia"/>
          <w:b/>
          <w:bCs/>
          <w:color w:val="auto"/>
          <w:sz w:val="24"/>
          <w:szCs w:val="21"/>
          <w:highlight w:val="none"/>
        </w:rPr>
        <w:t>/</w:t>
      </w:r>
      <w:r>
        <w:rPr>
          <w:rFonts w:hint="eastAsia" w:cs="宋体" w:asciiTheme="minorEastAsia" w:hAnsiTheme="minorEastAsia" w:eastAsiaTheme="minorEastAsia"/>
          <w:b/>
          <w:bCs/>
          <w:color w:val="auto"/>
          <w:sz w:val="24"/>
          <w:szCs w:val="21"/>
          <w:highlight w:val="none"/>
          <w:lang w:eastAsia="zh-CN"/>
        </w:rPr>
        <w:t>广州众源建设管理有限公司</w:t>
      </w:r>
    </w:p>
    <w:p w14:paraId="444884DB">
      <w:pPr>
        <w:spacing w:line="360" w:lineRule="auto"/>
        <w:ind w:firstLine="480" w:firstLineChars="200"/>
        <w:rPr>
          <w:rFonts w:cs="宋体" w:asciiTheme="minorEastAsia" w:hAnsiTheme="minorEastAsia" w:eastAsiaTheme="minorEastAsia"/>
          <w:color w:val="auto"/>
          <w:sz w:val="24"/>
          <w:szCs w:val="21"/>
          <w:highlight w:val="none"/>
        </w:rPr>
      </w:pPr>
      <w:r>
        <w:rPr>
          <w:rFonts w:hint="eastAsia" w:cs="宋体" w:asciiTheme="minorEastAsia" w:hAnsiTheme="minorEastAsia" w:eastAsiaTheme="minorEastAsia"/>
          <w:color w:val="auto"/>
          <w:sz w:val="24"/>
          <w:szCs w:val="21"/>
          <w:highlight w:val="none"/>
        </w:rPr>
        <w:t>我方郑重承诺：我方保证所提交的相关资质文件和证明材料的真实性，有良好的历史诚信记录，并将依法参与</w:t>
      </w:r>
      <w:r>
        <w:rPr>
          <w:rFonts w:hint="eastAsia" w:asciiTheme="minorEastAsia" w:hAnsiTheme="minorEastAsia" w:eastAsiaTheme="minorEastAsia"/>
          <w:color w:val="auto"/>
          <w:kern w:val="2"/>
          <w:sz w:val="24"/>
          <w:szCs w:val="24"/>
          <w:highlight w:val="none"/>
          <w:u w:val="single"/>
          <w:lang w:val="en-GB" w:eastAsia="zh-CN"/>
        </w:rPr>
        <w:t>广州市农科院鲜蔬火锅餐厅VI品牌策划设计全案整装招标</w:t>
      </w:r>
      <w:r>
        <w:rPr>
          <w:rFonts w:hint="eastAsia" w:cs="Arial" w:asciiTheme="minorEastAsia" w:hAnsiTheme="minorEastAsia" w:eastAsiaTheme="minorEastAsia"/>
          <w:color w:val="auto"/>
          <w:sz w:val="24"/>
          <w:szCs w:val="24"/>
          <w:highlight w:val="none"/>
          <w:u w:val="single"/>
        </w:rPr>
        <w:t>（项目编号：</w:t>
      </w:r>
      <w:r>
        <w:rPr>
          <w:rFonts w:hint="eastAsia" w:asciiTheme="minorEastAsia" w:hAnsiTheme="minorEastAsia" w:eastAsiaTheme="minorEastAsia"/>
          <w:color w:val="auto"/>
          <w:kern w:val="2"/>
          <w:sz w:val="24"/>
          <w:szCs w:val="24"/>
          <w:highlight w:val="none"/>
          <w:u w:val="single"/>
          <w:lang w:val="en-GB" w:eastAsia="zh-CN"/>
        </w:rPr>
        <w:t>ZYNK20250501</w:t>
      </w:r>
      <w:r>
        <w:rPr>
          <w:rFonts w:hint="eastAsia" w:cs="Arial" w:asciiTheme="minorEastAsia" w:hAnsiTheme="minorEastAsia" w:eastAsiaTheme="minorEastAsia"/>
          <w:color w:val="auto"/>
          <w:sz w:val="24"/>
          <w:szCs w:val="24"/>
          <w:highlight w:val="none"/>
        </w:rPr>
        <w:t>）</w:t>
      </w:r>
      <w:r>
        <w:rPr>
          <w:rFonts w:hint="eastAsia" w:cs="宋体" w:asciiTheme="minorEastAsia" w:hAnsiTheme="minorEastAsia" w:eastAsiaTheme="minorEastAsia"/>
          <w:color w:val="auto"/>
          <w:sz w:val="24"/>
          <w:szCs w:val="21"/>
          <w:highlight w:val="none"/>
        </w:rPr>
        <w:t>的公平竞争，不以任何不正当行为谋取不当利益，否则承担相应的法律责任。</w:t>
      </w:r>
    </w:p>
    <w:p w14:paraId="23A0448A">
      <w:pPr>
        <w:spacing w:line="360" w:lineRule="auto"/>
        <w:ind w:firstLine="480" w:firstLineChars="200"/>
        <w:rPr>
          <w:rFonts w:cs="宋体" w:asciiTheme="minorEastAsia" w:hAnsiTheme="minorEastAsia" w:eastAsiaTheme="minorEastAsia"/>
          <w:color w:val="auto"/>
          <w:sz w:val="24"/>
          <w:szCs w:val="21"/>
          <w:highlight w:val="none"/>
        </w:rPr>
      </w:pPr>
      <w:r>
        <w:rPr>
          <w:rFonts w:hint="eastAsia" w:cs="宋体" w:asciiTheme="minorEastAsia" w:hAnsiTheme="minorEastAsia" w:eastAsiaTheme="minorEastAsia"/>
          <w:color w:val="auto"/>
          <w:sz w:val="24"/>
          <w:szCs w:val="21"/>
          <w:highlight w:val="none"/>
        </w:rPr>
        <w:t>特此承诺！</w:t>
      </w:r>
    </w:p>
    <w:p w14:paraId="2B9D6E60">
      <w:pPr>
        <w:spacing w:line="360" w:lineRule="auto"/>
        <w:ind w:right="480"/>
        <w:jc w:val="right"/>
        <w:rPr>
          <w:rFonts w:cs="宋体" w:asciiTheme="minorEastAsia" w:hAnsiTheme="minorEastAsia" w:eastAsiaTheme="minorEastAsia"/>
          <w:color w:val="auto"/>
          <w:sz w:val="24"/>
          <w:szCs w:val="21"/>
          <w:highlight w:val="none"/>
        </w:rPr>
      </w:pPr>
    </w:p>
    <w:p w14:paraId="335AADD1">
      <w:pPr>
        <w:spacing w:line="360" w:lineRule="auto"/>
        <w:ind w:right="480"/>
        <w:jc w:val="right"/>
        <w:rPr>
          <w:rFonts w:cs="宋体" w:asciiTheme="minorEastAsia" w:hAnsiTheme="minorEastAsia" w:eastAsiaTheme="minorEastAsia"/>
          <w:color w:val="auto"/>
          <w:sz w:val="24"/>
          <w:szCs w:val="21"/>
          <w:highlight w:val="none"/>
        </w:rPr>
      </w:pPr>
    </w:p>
    <w:p w14:paraId="34A46CD8">
      <w:pPr>
        <w:spacing w:line="360" w:lineRule="auto"/>
        <w:ind w:right="480"/>
        <w:jc w:val="right"/>
        <w:rPr>
          <w:rFonts w:cs="宋体" w:asciiTheme="minorEastAsia" w:hAnsiTheme="minorEastAsia" w:eastAsiaTheme="minorEastAsia"/>
          <w:color w:val="auto"/>
          <w:sz w:val="24"/>
          <w:szCs w:val="21"/>
          <w:highlight w:val="none"/>
        </w:rPr>
      </w:pPr>
    </w:p>
    <w:p w14:paraId="4A264F70">
      <w:pPr>
        <w:spacing w:line="360" w:lineRule="auto"/>
        <w:ind w:right="480"/>
        <w:jc w:val="right"/>
        <w:rPr>
          <w:rFonts w:cs="宋体" w:asciiTheme="minorEastAsia" w:hAnsiTheme="minorEastAsia" w:eastAsiaTheme="minorEastAsia"/>
          <w:color w:val="auto"/>
          <w:sz w:val="24"/>
          <w:szCs w:val="21"/>
          <w:highlight w:val="none"/>
        </w:rPr>
      </w:pPr>
    </w:p>
    <w:p w14:paraId="681ED611">
      <w:pPr>
        <w:spacing w:line="360" w:lineRule="auto"/>
        <w:ind w:right="480"/>
        <w:jc w:val="right"/>
        <w:rPr>
          <w:rFonts w:cs="宋体" w:asciiTheme="minorEastAsia" w:hAnsiTheme="minorEastAsia" w:eastAsiaTheme="minorEastAsia"/>
          <w:color w:val="auto"/>
          <w:sz w:val="24"/>
          <w:szCs w:val="21"/>
          <w:highlight w:val="none"/>
        </w:rPr>
      </w:pPr>
    </w:p>
    <w:p w14:paraId="106F4C94">
      <w:pPr>
        <w:spacing w:line="360" w:lineRule="auto"/>
        <w:ind w:right="1920"/>
        <w:jc w:val="right"/>
        <w:rPr>
          <w:rFonts w:cs="宋体" w:asciiTheme="minorEastAsia" w:hAnsiTheme="minorEastAsia" w:eastAsiaTheme="minorEastAsia"/>
          <w:color w:val="auto"/>
          <w:sz w:val="24"/>
          <w:szCs w:val="21"/>
          <w:highlight w:val="none"/>
        </w:rPr>
      </w:pPr>
      <w:r>
        <w:rPr>
          <w:rFonts w:hint="eastAsia" w:cs="宋体" w:asciiTheme="minorEastAsia" w:hAnsiTheme="minorEastAsia" w:eastAsiaTheme="minorEastAsia"/>
          <w:color w:val="auto"/>
          <w:sz w:val="24"/>
          <w:szCs w:val="21"/>
          <w:highlight w:val="none"/>
        </w:rPr>
        <w:t>投标人名称（加盖公章）：</w:t>
      </w:r>
    </w:p>
    <w:p w14:paraId="00D0ABF1">
      <w:pPr>
        <w:spacing w:line="360" w:lineRule="auto"/>
        <w:ind w:right="1920"/>
        <w:jc w:val="right"/>
        <w:rPr>
          <w:rFonts w:cs="宋体" w:asciiTheme="minorEastAsia" w:hAnsiTheme="minorEastAsia" w:eastAsiaTheme="minorEastAsia"/>
          <w:color w:val="auto"/>
          <w:sz w:val="24"/>
          <w:szCs w:val="21"/>
          <w:highlight w:val="none"/>
        </w:rPr>
      </w:pPr>
      <w:r>
        <w:rPr>
          <w:rFonts w:hint="eastAsia" w:cs="宋体" w:asciiTheme="minorEastAsia" w:hAnsiTheme="minorEastAsia" w:eastAsiaTheme="minorEastAsia"/>
          <w:color w:val="auto"/>
          <w:sz w:val="24"/>
          <w:szCs w:val="21"/>
          <w:highlight w:val="none"/>
        </w:rPr>
        <w:t>日期：</w:t>
      </w:r>
      <w:r>
        <w:rPr>
          <w:rFonts w:hint="eastAsia" w:cs="Calibri" w:asciiTheme="minorEastAsia" w:hAnsiTheme="minorEastAsia" w:eastAsiaTheme="minorEastAsia"/>
          <w:color w:val="auto"/>
          <w:sz w:val="24"/>
          <w:szCs w:val="21"/>
          <w:highlight w:val="none"/>
        </w:rPr>
        <w:t>  </w:t>
      </w:r>
      <w:r>
        <w:rPr>
          <w:rFonts w:hint="eastAsia" w:cs="宋体" w:asciiTheme="minorEastAsia" w:hAnsiTheme="minorEastAsia" w:eastAsiaTheme="minorEastAsia"/>
          <w:color w:val="auto"/>
          <w:sz w:val="24"/>
          <w:szCs w:val="21"/>
          <w:highlight w:val="none"/>
        </w:rPr>
        <w:t>年</w:t>
      </w:r>
      <w:r>
        <w:rPr>
          <w:rFonts w:hint="eastAsia" w:cs="Calibri" w:asciiTheme="minorEastAsia" w:hAnsiTheme="minorEastAsia" w:eastAsiaTheme="minorEastAsia"/>
          <w:color w:val="auto"/>
          <w:sz w:val="24"/>
          <w:szCs w:val="21"/>
          <w:highlight w:val="none"/>
        </w:rPr>
        <w:t>  </w:t>
      </w:r>
      <w:r>
        <w:rPr>
          <w:rFonts w:hint="eastAsia" w:cs="宋体" w:asciiTheme="minorEastAsia" w:hAnsiTheme="minorEastAsia" w:eastAsiaTheme="minorEastAsia"/>
          <w:color w:val="auto"/>
          <w:sz w:val="24"/>
          <w:szCs w:val="21"/>
          <w:highlight w:val="none"/>
        </w:rPr>
        <w:t>月</w:t>
      </w:r>
      <w:r>
        <w:rPr>
          <w:rFonts w:hint="eastAsia" w:cs="Calibri" w:asciiTheme="minorEastAsia" w:hAnsiTheme="minorEastAsia" w:eastAsiaTheme="minorEastAsia"/>
          <w:color w:val="auto"/>
          <w:sz w:val="24"/>
          <w:szCs w:val="21"/>
          <w:highlight w:val="none"/>
        </w:rPr>
        <w:t>  </w:t>
      </w:r>
      <w:r>
        <w:rPr>
          <w:rFonts w:hint="eastAsia" w:cs="宋体" w:asciiTheme="minorEastAsia" w:hAnsiTheme="minorEastAsia" w:eastAsiaTheme="minorEastAsia"/>
          <w:color w:val="auto"/>
          <w:sz w:val="24"/>
          <w:szCs w:val="21"/>
          <w:highlight w:val="none"/>
        </w:rPr>
        <w:t>日</w:t>
      </w:r>
    </w:p>
    <w:p w14:paraId="7626C82B">
      <w:pPr>
        <w:spacing w:after="156" w:afterLines="50" w:line="360" w:lineRule="auto"/>
        <w:ind w:firstLine="600" w:firstLineChars="200"/>
        <w:rPr>
          <w:rFonts w:asciiTheme="minorEastAsia" w:hAnsiTheme="minorEastAsia" w:eastAsiaTheme="minorEastAsia"/>
          <w:b/>
          <w:bCs/>
          <w:color w:val="auto"/>
          <w:kern w:val="44"/>
          <w:sz w:val="30"/>
          <w:szCs w:val="30"/>
          <w:highlight w:val="none"/>
        </w:rPr>
      </w:pPr>
      <w:r>
        <w:rPr>
          <w:rFonts w:hint="eastAsia" w:asciiTheme="minorEastAsia" w:hAnsiTheme="minorEastAsia" w:eastAsiaTheme="minorEastAsia"/>
          <w:color w:val="auto"/>
          <w:sz w:val="30"/>
          <w:szCs w:val="30"/>
          <w:highlight w:val="none"/>
        </w:rPr>
        <w:br w:type="page"/>
      </w:r>
    </w:p>
    <w:p w14:paraId="4BFAD8A8">
      <w:pPr>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b/>
          <w:color w:val="auto"/>
          <w:sz w:val="24"/>
          <w:szCs w:val="24"/>
          <w:highlight w:val="none"/>
          <w:lang w:val="en-GB"/>
        </w:rPr>
        <w:t>附件</w:t>
      </w:r>
      <w:r>
        <w:rPr>
          <w:rFonts w:asciiTheme="minorEastAsia" w:hAnsiTheme="minorEastAsia" w:eastAsiaTheme="minorEastAsia"/>
          <w:b/>
          <w:color w:val="auto"/>
          <w:sz w:val="24"/>
          <w:szCs w:val="24"/>
          <w:highlight w:val="none"/>
          <w:lang w:val="en-GB"/>
        </w:rPr>
        <w:t>4</w:t>
      </w:r>
      <w:r>
        <w:rPr>
          <w:rFonts w:hint="eastAsia" w:asciiTheme="minorEastAsia" w:hAnsiTheme="minorEastAsia" w:eastAsiaTheme="minorEastAsia"/>
          <w:b/>
          <w:color w:val="auto"/>
          <w:sz w:val="24"/>
          <w:szCs w:val="24"/>
          <w:highlight w:val="none"/>
          <w:lang w:val="en-GB"/>
        </w:rPr>
        <w:t xml:space="preserve">： </w:t>
      </w:r>
    </w:p>
    <w:p w14:paraId="203F73D5">
      <w:pPr>
        <w:pStyle w:val="23"/>
        <w:jc w:val="center"/>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投标承诺函</w:t>
      </w:r>
    </w:p>
    <w:p w14:paraId="529F09D6">
      <w:pPr>
        <w:tabs>
          <w:tab w:val="left" w:pos="9450"/>
        </w:tabs>
        <w:spacing w:line="336" w:lineRule="auto"/>
        <w:ind w:right="84" w:rightChars="40" w:firstLine="480" w:firstLineChars="200"/>
        <w:rPr>
          <w:rFonts w:asciiTheme="minorEastAsia" w:hAnsiTheme="minorEastAsia" w:eastAsiaTheme="minorEastAsia"/>
          <w:color w:val="auto"/>
          <w:sz w:val="24"/>
          <w:szCs w:val="24"/>
          <w:highlight w:val="none"/>
        </w:rPr>
      </w:pPr>
    </w:p>
    <w:p w14:paraId="68625DA5">
      <w:pPr>
        <w:tabs>
          <w:tab w:val="left" w:pos="9450"/>
        </w:tabs>
        <w:spacing w:line="336" w:lineRule="auto"/>
        <w:ind w:right="84" w:rightChars="4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lang w:eastAsia="zh-CN"/>
        </w:rPr>
        <w:t>广州市农科所科技发展有限公司</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lang w:eastAsia="zh-CN"/>
        </w:rPr>
        <w:t>广州众源建设管理有限公司</w:t>
      </w:r>
      <w:r>
        <w:rPr>
          <w:rFonts w:hint="eastAsia" w:asciiTheme="minorEastAsia" w:hAnsiTheme="minorEastAsia" w:eastAsiaTheme="minorEastAsia"/>
          <w:color w:val="auto"/>
          <w:sz w:val="24"/>
          <w:szCs w:val="24"/>
          <w:highlight w:val="none"/>
        </w:rPr>
        <w:t>：</w:t>
      </w:r>
    </w:p>
    <w:p w14:paraId="020214D8">
      <w:pPr>
        <w:tabs>
          <w:tab w:val="left" w:pos="9450"/>
        </w:tabs>
        <w:spacing w:line="336" w:lineRule="auto"/>
        <w:ind w:right="84" w:rightChars="40"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我方收到贵方关于</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kern w:val="2"/>
          <w:sz w:val="24"/>
          <w:szCs w:val="24"/>
          <w:highlight w:val="none"/>
          <w:u w:val="single"/>
          <w:lang w:val="en-GB" w:eastAsia="zh-CN"/>
        </w:rPr>
        <w:t>广州市农科院鲜蔬火锅餐厅VI品牌策划设计全案整装招标</w:t>
      </w:r>
      <w:r>
        <w:rPr>
          <w:rFonts w:hint="eastAsia" w:asciiTheme="minorEastAsia" w:hAnsiTheme="minorEastAsia" w:eastAsiaTheme="minorEastAsia"/>
          <w:color w:val="auto"/>
          <w:sz w:val="24"/>
          <w:szCs w:val="24"/>
          <w:highlight w:val="none"/>
          <w:u w:val="single"/>
        </w:rPr>
        <w:t>”（项目编号：</w:t>
      </w:r>
      <w:r>
        <w:rPr>
          <w:rFonts w:hint="eastAsia" w:asciiTheme="minorEastAsia" w:hAnsiTheme="minorEastAsia" w:eastAsiaTheme="minorEastAsia"/>
          <w:color w:val="auto"/>
          <w:kern w:val="2"/>
          <w:sz w:val="24"/>
          <w:szCs w:val="24"/>
          <w:highlight w:val="none"/>
          <w:u w:val="single"/>
          <w:lang w:val="en-GB" w:eastAsia="zh-CN"/>
        </w:rPr>
        <w:t>ZYNK20250501</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rPr>
        <w:t>的采购文件，完全理解采购文件的所有内容。决定投标本项目，据此我方承诺如下：</w:t>
      </w:r>
    </w:p>
    <w:p w14:paraId="45700100">
      <w:pPr>
        <w:pStyle w:val="6"/>
        <w:numPr>
          <w:ilvl w:val="0"/>
          <w:numId w:val="29"/>
        </w:numPr>
        <w:tabs>
          <w:tab w:val="clear" w:pos="851"/>
        </w:tabs>
        <w:spacing w:line="336" w:lineRule="auto"/>
        <w:ind w:left="0" w:firstLine="540" w:firstLineChars="2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我方的投标文件在投标截止日后90天（日历天）内保持有效，如中标，有效期将延至本项目《采购合同》执行期满日为止。</w:t>
      </w:r>
    </w:p>
    <w:p w14:paraId="25187022">
      <w:pPr>
        <w:pStyle w:val="6"/>
        <w:numPr>
          <w:ilvl w:val="0"/>
          <w:numId w:val="29"/>
        </w:numPr>
        <w:tabs>
          <w:tab w:val="clear" w:pos="851"/>
        </w:tabs>
        <w:spacing w:line="336" w:lineRule="auto"/>
        <w:ind w:left="0" w:firstLine="540" w:firstLineChars="2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我方在参与投标前已仔细研究了采购文件和所有相关资料，我方完全明白并认为此采购文件没有倾向性，也没有存在排斥潜在投标人的内容，我方同意采购文件的相关条款，放弃对采购文件提出误解和质疑的一切权利。</w:t>
      </w:r>
    </w:p>
    <w:p w14:paraId="1164854B">
      <w:pPr>
        <w:pStyle w:val="6"/>
        <w:numPr>
          <w:ilvl w:val="0"/>
          <w:numId w:val="29"/>
        </w:numPr>
        <w:tabs>
          <w:tab w:val="clear" w:pos="851"/>
        </w:tabs>
        <w:spacing w:line="336" w:lineRule="auto"/>
        <w:ind w:left="0" w:firstLine="540" w:firstLineChars="2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我方声明投标文件及所提供的一切资料均真实无误及有效。由于我方提供资料不实而造成的责任和后果由我方承担。我方同意按照贵方提出的要求，提供与投标有关的任何其它数据或信息。</w:t>
      </w:r>
    </w:p>
    <w:p w14:paraId="1AC9026A">
      <w:pPr>
        <w:pStyle w:val="6"/>
        <w:numPr>
          <w:ilvl w:val="0"/>
          <w:numId w:val="29"/>
        </w:numPr>
        <w:tabs>
          <w:tab w:val="clear" w:pos="851"/>
        </w:tabs>
        <w:spacing w:line="336" w:lineRule="auto"/>
        <w:ind w:left="0" w:firstLine="540" w:firstLineChars="2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我方理解贵方不一定接受最低报价的投标。</w:t>
      </w:r>
    </w:p>
    <w:p w14:paraId="666B44E0">
      <w:pPr>
        <w:pStyle w:val="6"/>
        <w:numPr>
          <w:ilvl w:val="0"/>
          <w:numId w:val="29"/>
        </w:numPr>
        <w:tabs>
          <w:tab w:val="clear" w:pos="851"/>
        </w:tabs>
        <w:spacing w:line="336" w:lineRule="auto"/>
        <w:ind w:left="0" w:firstLine="540" w:firstLineChars="2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我方同意如在本项目开标后、投标有效期之内撤回投标，或中标后未在规定期限内签订合同并送贵方备案的，贵方将不退还投标保证金。</w:t>
      </w:r>
    </w:p>
    <w:p w14:paraId="408477E0">
      <w:pPr>
        <w:pStyle w:val="6"/>
        <w:numPr>
          <w:ilvl w:val="0"/>
          <w:numId w:val="29"/>
        </w:numPr>
        <w:tabs>
          <w:tab w:val="clear" w:pos="851"/>
        </w:tabs>
        <w:spacing w:line="336" w:lineRule="auto"/>
        <w:ind w:left="0" w:firstLine="540" w:firstLineChars="2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我方保证，</w:t>
      </w:r>
      <w:r>
        <w:rPr>
          <w:rFonts w:hint="eastAsia" w:asciiTheme="minorEastAsia" w:hAnsiTheme="minorEastAsia" w:eastAsiaTheme="minorEastAsia"/>
          <w:color w:val="auto"/>
          <w:sz w:val="24"/>
          <w:highlight w:val="none"/>
          <w:lang w:val="af-ZA"/>
        </w:rPr>
        <w:t>采购人在中华人民共和国境内使用</w:t>
      </w:r>
      <w:r>
        <w:rPr>
          <w:rFonts w:hint="eastAsia" w:asciiTheme="minorEastAsia" w:hAnsiTheme="minorEastAsia" w:eastAsiaTheme="minorEastAsia"/>
          <w:color w:val="auto"/>
          <w:sz w:val="24"/>
          <w:szCs w:val="24"/>
          <w:highlight w:val="none"/>
        </w:rPr>
        <w:t>我方</w:t>
      </w:r>
      <w:r>
        <w:rPr>
          <w:rFonts w:hint="eastAsia" w:asciiTheme="minorEastAsia" w:hAnsiTheme="minorEastAsia" w:eastAsiaTheme="minorEastAsia"/>
          <w:color w:val="auto"/>
          <w:sz w:val="24"/>
          <w:highlight w:val="none"/>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14:paraId="2FB5645C">
      <w:pPr>
        <w:pStyle w:val="6"/>
        <w:numPr>
          <w:ilvl w:val="0"/>
          <w:numId w:val="29"/>
        </w:numPr>
        <w:tabs>
          <w:tab w:val="clear" w:pos="851"/>
        </w:tabs>
        <w:spacing w:line="336" w:lineRule="auto"/>
        <w:ind w:left="0" w:firstLine="540" w:firstLineChars="2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所有与本招标项目有关的函件请发往下列地址：</w:t>
      </w:r>
    </w:p>
    <w:tbl>
      <w:tblPr>
        <w:tblStyle w:val="41"/>
        <w:tblW w:w="902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4394"/>
        <w:gridCol w:w="850"/>
        <w:gridCol w:w="2009"/>
      </w:tblGrid>
      <w:tr w14:paraId="2945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7" w:type="dxa"/>
            <w:vAlign w:val="center"/>
          </w:tcPr>
          <w:p w14:paraId="7651CBF4">
            <w:pPr>
              <w:tabs>
                <w:tab w:val="left" w:pos="0"/>
              </w:tabs>
              <w:ind w:right="25" w:rightChars="12"/>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地址（邮编）</w:t>
            </w:r>
          </w:p>
        </w:tc>
        <w:tc>
          <w:tcPr>
            <w:tcW w:w="4394" w:type="dxa"/>
            <w:vAlign w:val="center"/>
          </w:tcPr>
          <w:p w14:paraId="2F9AD79A">
            <w:pPr>
              <w:tabs>
                <w:tab w:val="left" w:pos="0"/>
              </w:tabs>
              <w:ind w:right="25" w:rightChars="12"/>
              <w:jc w:val="both"/>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Cs w:val="21"/>
                <w:highlight w:val="none"/>
              </w:rPr>
              <w:t>　</w:t>
            </w:r>
          </w:p>
        </w:tc>
        <w:tc>
          <w:tcPr>
            <w:tcW w:w="850" w:type="dxa"/>
            <w:vAlign w:val="center"/>
          </w:tcPr>
          <w:p w14:paraId="58441A04">
            <w:pPr>
              <w:tabs>
                <w:tab w:val="left" w:pos="0"/>
              </w:tabs>
              <w:spacing w:line="360" w:lineRule="auto"/>
              <w:ind w:right="25" w:rightChars="12"/>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传真</w:t>
            </w:r>
          </w:p>
        </w:tc>
        <w:tc>
          <w:tcPr>
            <w:tcW w:w="2009" w:type="dxa"/>
            <w:vAlign w:val="center"/>
          </w:tcPr>
          <w:p w14:paraId="1A6167CC">
            <w:pPr>
              <w:tabs>
                <w:tab w:val="left" w:pos="0"/>
              </w:tabs>
              <w:spacing w:line="360" w:lineRule="auto"/>
              <w:ind w:right="25" w:rightChars="12"/>
              <w:jc w:val="both"/>
              <w:rPr>
                <w:rFonts w:asciiTheme="minorEastAsia" w:hAnsiTheme="minorEastAsia" w:eastAsiaTheme="minorEastAsia"/>
                <w:color w:val="auto"/>
                <w:sz w:val="24"/>
                <w:szCs w:val="24"/>
                <w:highlight w:val="none"/>
              </w:rPr>
            </w:pPr>
          </w:p>
        </w:tc>
      </w:tr>
      <w:tr w14:paraId="22D3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7" w:type="dxa"/>
            <w:vAlign w:val="center"/>
          </w:tcPr>
          <w:p w14:paraId="2F1A5DC3">
            <w:pPr>
              <w:tabs>
                <w:tab w:val="left" w:pos="0"/>
              </w:tabs>
              <w:spacing w:line="360" w:lineRule="auto"/>
              <w:ind w:right="25" w:rightChars="12"/>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联系人（职务）</w:t>
            </w:r>
          </w:p>
        </w:tc>
        <w:tc>
          <w:tcPr>
            <w:tcW w:w="4394" w:type="dxa"/>
            <w:vAlign w:val="center"/>
          </w:tcPr>
          <w:p w14:paraId="634F2DF1">
            <w:pPr>
              <w:tabs>
                <w:tab w:val="left" w:pos="0"/>
              </w:tabs>
              <w:spacing w:line="360" w:lineRule="auto"/>
              <w:ind w:right="25" w:rightChars="12"/>
              <w:jc w:val="both"/>
              <w:rPr>
                <w:rFonts w:asciiTheme="minorEastAsia" w:hAnsiTheme="minorEastAsia" w:eastAsiaTheme="minorEastAsia"/>
                <w:color w:val="auto"/>
                <w:sz w:val="24"/>
                <w:szCs w:val="24"/>
                <w:highlight w:val="none"/>
              </w:rPr>
            </w:pPr>
          </w:p>
        </w:tc>
        <w:tc>
          <w:tcPr>
            <w:tcW w:w="850" w:type="dxa"/>
            <w:vAlign w:val="center"/>
          </w:tcPr>
          <w:p w14:paraId="2E95A3C3">
            <w:pPr>
              <w:tabs>
                <w:tab w:val="left" w:pos="0"/>
              </w:tabs>
              <w:spacing w:line="360" w:lineRule="auto"/>
              <w:ind w:right="25" w:rightChars="12"/>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电话</w:t>
            </w:r>
          </w:p>
        </w:tc>
        <w:tc>
          <w:tcPr>
            <w:tcW w:w="2009" w:type="dxa"/>
            <w:vAlign w:val="center"/>
          </w:tcPr>
          <w:p w14:paraId="6D0A9041">
            <w:pPr>
              <w:tabs>
                <w:tab w:val="left" w:pos="0"/>
              </w:tabs>
              <w:spacing w:line="360" w:lineRule="auto"/>
              <w:ind w:right="25" w:rightChars="12"/>
              <w:jc w:val="both"/>
              <w:rPr>
                <w:rFonts w:asciiTheme="minorEastAsia" w:hAnsiTheme="minorEastAsia" w:eastAsiaTheme="minorEastAsia"/>
                <w:color w:val="auto"/>
                <w:sz w:val="24"/>
                <w:szCs w:val="24"/>
                <w:highlight w:val="none"/>
              </w:rPr>
            </w:pPr>
          </w:p>
        </w:tc>
      </w:tr>
    </w:tbl>
    <w:p w14:paraId="1A5ED24A">
      <w:pPr>
        <w:spacing w:line="360" w:lineRule="auto"/>
        <w:ind w:right="84" w:rightChars="40" w:firstLine="4080" w:firstLineChars="17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投标人名称（单位公章）： </w:t>
      </w:r>
    </w:p>
    <w:p w14:paraId="23D2B84B">
      <w:pPr>
        <w:tabs>
          <w:tab w:val="left" w:pos="4320"/>
        </w:tabs>
        <w:wordWrap w:val="0"/>
        <w:spacing w:line="360" w:lineRule="auto"/>
        <w:ind w:right="412" w:rightChars="196" w:firstLine="3840" w:firstLineChars="1600"/>
        <w:jc w:val="right"/>
        <w:rPr>
          <w:rFonts w:cs="Arial"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日期：</w:t>
      </w:r>
      <w:r>
        <w:rPr>
          <w:rFonts w:hint="eastAsia" w:cs="Arial" w:asciiTheme="minorEastAsia" w:hAnsiTheme="minorEastAsia" w:eastAsiaTheme="minorEastAsia"/>
          <w:color w:val="auto"/>
          <w:sz w:val="24"/>
          <w:szCs w:val="24"/>
          <w:highlight w:val="none"/>
        </w:rPr>
        <w:t xml:space="preserve">    年   月   日</w:t>
      </w:r>
    </w:p>
    <w:p w14:paraId="4AE89C15">
      <w:pPr>
        <w:spacing w:line="360" w:lineRule="auto"/>
        <w:ind w:right="84" w:rightChars="40"/>
        <w:rPr>
          <w:rFonts w:cs="Arial" w:asciiTheme="minorEastAsia" w:hAnsiTheme="minorEastAsia" w:eastAsiaTheme="minorEastAsia"/>
          <w:bCs/>
          <w:color w:val="auto"/>
          <w:sz w:val="24"/>
          <w:szCs w:val="24"/>
          <w:highlight w:val="none"/>
        </w:rPr>
      </w:pPr>
      <w:r>
        <w:rPr>
          <w:rFonts w:hint="eastAsia" w:cs="Arial" w:asciiTheme="minorEastAsia" w:hAnsiTheme="minorEastAsia" w:eastAsiaTheme="minorEastAsia"/>
          <w:bCs/>
          <w:color w:val="auto"/>
          <w:sz w:val="24"/>
          <w:szCs w:val="24"/>
          <w:highlight w:val="none"/>
        </w:rPr>
        <w:t>说明：本格式文件内容不得擅自删改。</w:t>
      </w:r>
    </w:p>
    <w:p w14:paraId="2605350F">
      <w:pPr>
        <w:pStyle w:val="7"/>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br w:type="page"/>
      </w:r>
    </w:p>
    <w:p w14:paraId="6685CB5E">
      <w:pPr>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lang w:val="en-GB"/>
        </w:rPr>
        <w:t>附件</w:t>
      </w:r>
      <w:r>
        <w:rPr>
          <w:rFonts w:hint="eastAsia" w:asciiTheme="minorEastAsia" w:hAnsiTheme="minorEastAsia" w:eastAsiaTheme="minorEastAsia"/>
          <w:b/>
          <w:color w:val="auto"/>
          <w:sz w:val="24"/>
          <w:szCs w:val="24"/>
          <w:highlight w:val="none"/>
        </w:rPr>
        <w:t>5</w:t>
      </w:r>
      <w:r>
        <w:rPr>
          <w:rFonts w:hint="eastAsia" w:asciiTheme="minorEastAsia" w:hAnsiTheme="minorEastAsia" w:eastAsiaTheme="minorEastAsia"/>
          <w:b/>
          <w:color w:val="auto"/>
          <w:sz w:val="24"/>
          <w:szCs w:val="24"/>
          <w:highlight w:val="none"/>
          <w:lang w:val="en-GB"/>
        </w:rPr>
        <w:t>：</w:t>
      </w:r>
    </w:p>
    <w:p w14:paraId="1B574B35">
      <w:pPr>
        <w:jc w:val="center"/>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rPr>
        <w:t>资格声明</w:t>
      </w:r>
    </w:p>
    <w:p w14:paraId="2A032D91">
      <w:pPr>
        <w:spacing w:line="360" w:lineRule="auto"/>
        <w:rPr>
          <w:rFonts w:asciiTheme="minorEastAsia" w:hAnsiTheme="minorEastAsia" w:eastAsiaTheme="minorEastAsia"/>
          <w:b/>
          <w:iCs/>
          <w:color w:val="auto"/>
          <w:sz w:val="24"/>
          <w:highlight w:val="none"/>
        </w:rPr>
      </w:pPr>
    </w:p>
    <w:p w14:paraId="29C8B7B8">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szCs w:val="24"/>
          <w:highlight w:val="none"/>
          <w:lang w:eastAsia="zh-CN"/>
        </w:rPr>
        <w:t>广州市农科所科技发展有限公司</w:t>
      </w:r>
      <w:r>
        <w:rPr>
          <w:rFonts w:hint="eastAsia" w:asciiTheme="minorEastAsia" w:hAnsiTheme="minorEastAsia" w:eastAsiaTheme="minorEastAsia"/>
          <w:bCs/>
          <w:color w:val="auto"/>
          <w:sz w:val="24"/>
          <w:szCs w:val="24"/>
          <w:highlight w:val="none"/>
        </w:rPr>
        <w:t>/</w:t>
      </w:r>
      <w:r>
        <w:rPr>
          <w:rFonts w:hint="eastAsia" w:asciiTheme="minorEastAsia" w:hAnsiTheme="minorEastAsia" w:eastAsiaTheme="minorEastAsia"/>
          <w:color w:val="auto"/>
          <w:sz w:val="24"/>
          <w:szCs w:val="24"/>
          <w:highlight w:val="none"/>
          <w:lang w:eastAsia="zh-CN"/>
        </w:rPr>
        <w:t>广州众源建设管理有限公司</w:t>
      </w:r>
      <w:r>
        <w:rPr>
          <w:rFonts w:hint="eastAsia" w:asciiTheme="minorEastAsia" w:hAnsiTheme="minorEastAsia" w:eastAsiaTheme="minorEastAsia"/>
          <w:color w:val="auto"/>
          <w:sz w:val="24"/>
          <w:highlight w:val="none"/>
        </w:rPr>
        <w:t>：</w:t>
      </w:r>
    </w:p>
    <w:p w14:paraId="2CA023D9">
      <w:pPr>
        <w:spacing w:line="360" w:lineRule="auto"/>
        <w:ind w:firstLine="54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下述投标人自愿响应贵方</w:t>
      </w:r>
      <w:r>
        <w:rPr>
          <w:rFonts w:hint="eastAsia" w:asciiTheme="minorEastAsia" w:hAnsiTheme="minorEastAsia" w:eastAsiaTheme="minorEastAsia"/>
          <w:color w:val="auto"/>
          <w:kern w:val="2"/>
          <w:sz w:val="24"/>
          <w:szCs w:val="24"/>
          <w:highlight w:val="none"/>
          <w:u w:val="single"/>
          <w:lang w:val="en-GB" w:eastAsia="zh-CN"/>
        </w:rPr>
        <w:t>广州市农科院鲜蔬火锅餐厅VI品牌策划设计全案整装招标</w:t>
      </w:r>
      <w:r>
        <w:rPr>
          <w:rFonts w:hint="eastAsia" w:cs="宋体" w:asciiTheme="minorEastAsia" w:hAnsiTheme="minorEastAsia" w:eastAsiaTheme="minorEastAsia"/>
          <w:color w:val="auto"/>
          <w:sz w:val="24"/>
          <w:szCs w:val="21"/>
          <w:highlight w:val="none"/>
          <w:u w:val="single"/>
        </w:rPr>
        <w:t>（前锋系统-前锋西）</w:t>
      </w:r>
      <w:r>
        <w:rPr>
          <w:rFonts w:hint="eastAsia" w:cs="Arial"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u w:val="single"/>
        </w:rPr>
        <w:t>项目编号：</w:t>
      </w:r>
      <w:r>
        <w:rPr>
          <w:rFonts w:hint="eastAsia" w:asciiTheme="minorEastAsia" w:hAnsiTheme="minorEastAsia" w:eastAsiaTheme="minorEastAsia"/>
          <w:color w:val="auto"/>
          <w:kern w:val="2"/>
          <w:sz w:val="24"/>
          <w:szCs w:val="24"/>
          <w:highlight w:val="none"/>
          <w:u w:val="single"/>
          <w:lang w:val="en-GB" w:eastAsia="zh-CN"/>
        </w:rPr>
        <w:t>ZYNK20250501</w:t>
      </w:r>
      <w:r>
        <w:rPr>
          <w:rFonts w:hint="eastAsia" w:cs="Arial"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rPr>
        <w:t>招标公告，参与本采购项目</w:t>
      </w:r>
      <w:r>
        <w:rPr>
          <w:rFonts w:hint="eastAsia" w:asciiTheme="minorEastAsia" w:hAnsiTheme="minorEastAsia" w:eastAsiaTheme="minorEastAsia"/>
          <w:color w:val="auto"/>
          <w:sz w:val="24"/>
          <w:highlight w:val="none"/>
          <w:lang w:val="af-ZA"/>
        </w:rPr>
        <w:t>的投标事宜</w:t>
      </w:r>
      <w:r>
        <w:rPr>
          <w:rFonts w:hint="eastAsia" w:asciiTheme="minorEastAsia" w:hAnsiTheme="minorEastAsia" w:eastAsiaTheme="minorEastAsia"/>
          <w:color w:val="auto"/>
          <w:sz w:val="24"/>
          <w:szCs w:val="24"/>
          <w:highlight w:val="none"/>
        </w:rPr>
        <w:t>，并按采购文件的要求提交所附资格文件且声明和保证如下：</w:t>
      </w:r>
    </w:p>
    <w:p w14:paraId="66918A8D">
      <w:pPr>
        <w:spacing w:line="360" w:lineRule="auto"/>
        <w:ind w:firstLine="648" w:firstLineChars="27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1.我方为本次采购所提交的所有证明其合格和资格的文件是真实的和正确的，并愿为其真实性和正确性承担法律责任；</w:t>
      </w:r>
    </w:p>
    <w:p w14:paraId="1477905D">
      <w:pPr>
        <w:spacing w:line="360" w:lineRule="auto"/>
        <w:ind w:firstLine="648" w:firstLineChars="270"/>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2.我方是依法注册的法人或非法人组织，具有独立承担民事责任的能力</w:t>
      </w:r>
      <w:r>
        <w:rPr>
          <w:rFonts w:hint="eastAsia" w:asciiTheme="minorEastAsia" w:hAnsiTheme="minorEastAsia" w:eastAsiaTheme="minorEastAsia"/>
          <w:color w:val="auto"/>
          <w:sz w:val="24"/>
          <w:szCs w:val="24"/>
          <w:highlight w:val="none"/>
          <w:lang w:eastAsia="zh-CN"/>
        </w:rPr>
        <w:t>，并取得合法的营业执照。</w:t>
      </w:r>
    </w:p>
    <w:p w14:paraId="25F08FBC">
      <w:pPr>
        <w:spacing w:line="360" w:lineRule="auto"/>
        <w:ind w:firstLine="648" w:firstLineChars="270"/>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lang w:val="en-US" w:eastAsia="zh-CN"/>
        </w:rPr>
        <w:t>3.我方</w:t>
      </w:r>
      <w:r>
        <w:rPr>
          <w:rFonts w:hint="eastAsia" w:asciiTheme="minorEastAsia" w:hAnsiTheme="minorEastAsia" w:eastAsiaTheme="minorEastAsia"/>
          <w:color w:val="auto"/>
          <w:sz w:val="24"/>
          <w:szCs w:val="24"/>
          <w:highlight w:val="none"/>
          <w:lang w:eastAsia="zh-CN"/>
        </w:rPr>
        <w:t>具备</w:t>
      </w:r>
      <w:r>
        <w:rPr>
          <w:rFonts w:hint="eastAsia" w:asciiTheme="minorEastAsia" w:hAnsiTheme="minorEastAsia" w:eastAsiaTheme="minorEastAsia"/>
          <w:color w:val="auto"/>
          <w:sz w:val="24"/>
          <w:szCs w:val="24"/>
          <w:highlight w:val="none"/>
          <w:lang w:val="en-US" w:eastAsia="zh-CN"/>
        </w:rPr>
        <w:t>承担本项目的资质</w:t>
      </w:r>
      <w:r>
        <w:rPr>
          <w:rFonts w:hint="eastAsia" w:asciiTheme="minorEastAsia" w:hAnsiTheme="minorEastAsia" w:eastAsiaTheme="minorEastAsia"/>
          <w:color w:val="auto"/>
          <w:sz w:val="24"/>
          <w:szCs w:val="24"/>
          <w:highlight w:val="none"/>
          <w:lang w:eastAsia="zh-CN"/>
        </w:rPr>
        <w:t>。</w:t>
      </w:r>
    </w:p>
    <w:p w14:paraId="548B664D">
      <w:pPr>
        <w:spacing w:line="360" w:lineRule="auto"/>
        <w:ind w:firstLine="648" w:firstLineChars="270"/>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4.我方拟派</w:t>
      </w:r>
      <w:r>
        <w:rPr>
          <w:rFonts w:hint="eastAsia" w:asciiTheme="minorEastAsia" w:hAnsiTheme="minorEastAsia" w:eastAsiaTheme="minorEastAsia"/>
          <w:color w:val="auto"/>
          <w:sz w:val="24"/>
          <w:szCs w:val="24"/>
          <w:highlight w:val="none"/>
          <w:lang w:eastAsia="zh-CN"/>
        </w:rPr>
        <w:t>项目负责人</w:t>
      </w:r>
      <w:r>
        <w:rPr>
          <w:rFonts w:hint="eastAsia" w:asciiTheme="minorEastAsia" w:hAnsiTheme="minorEastAsia" w:eastAsiaTheme="minorEastAsia"/>
          <w:color w:val="auto"/>
          <w:sz w:val="24"/>
          <w:szCs w:val="24"/>
          <w:highlight w:val="none"/>
          <w:lang w:val="en-US" w:eastAsia="zh-CN"/>
        </w:rPr>
        <w:t>满足招标文件资格要求。</w:t>
      </w:r>
    </w:p>
    <w:p w14:paraId="207B0CBE">
      <w:pPr>
        <w:spacing w:line="360" w:lineRule="auto"/>
        <w:ind w:firstLine="648" w:firstLineChars="270"/>
        <w:rPr>
          <w:rFonts w:hint="eastAsia" w:cs="宋体" w:asciiTheme="minorEastAsia" w:hAnsiTheme="minorEastAsia"/>
          <w:color w:val="auto"/>
          <w:sz w:val="24"/>
          <w:szCs w:val="24"/>
          <w:highlight w:val="none"/>
          <w:lang w:eastAsia="zh-CN"/>
        </w:rPr>
      </w:pPr>
      <w:r>
        <w:rPr>
          <w:rFonts w:hint="eastAsia" w:asciiTheme="minorEastAsia" w:hAnsiTheme="minorEastAsia" w:eastAsiaTheme="minorEastAsia"/>
          <w:color w:val="auto"/>
          <w:sz w:val="24"/>
          <w:szCs w:val="24"/>
          <w:highlight w:val="none"/>
          <w:lang w:val="en-US" w:eastAsia="zh-CN"/>
        </w:rPr>
        <w:t>5.我方</w:t>
      </w:r>
      <w:r>
        <w:rPr>
          <w:rFonts w:hint="eastAsia" w:cs="宋体" w:asciiTheme="minorEastAsia" w:hAnsiTheme="minorEastAsia"/>
          <w:color w:val="auto"/>
          <w:sz w:val="24"/>
          <w:szCs w:val="24"/>
          <w:highlight w:val="none"/>
          <w:lang w:eastAsia="zh-CN"/>
        </w:rPr>
        <w:t>具有良好的商业信誉和健全的财务会计制度。</w:t>
      </w:r>
    </w:p>
    <w:p w14:paraId="691E225F">
      <w:pPr>
        <w:spacing w:line="360" w:lineRule="auto"/>
        <w:ind w:firstLine="648" w:firstLineChars="270"/>
        <w:rPr>
          <w:rFonts w:hint="default" w:asciiTheme="minorEastAsia" w:hAnsiTheme="minorEastAsia" w:eastAsiaTheme="minorEastAsia"/>
          <w:color w:val="auto"/>
          <w:sz w:val="24"/>
          <w:szCs w:val="24"/>
          <w:highlight w:val="none"/>
          <w:lang w:val="en-US"/>
        </w:rPr>
      </w:pPr>
      <w:r>
        <w:rPr>
          <w:rFonts w:hint="eastAsia" w:cs="宋体" w:asciiTheme="minorEastAsia" w:hAnsiTheme="minorEastAsia"/>
          <w:color w:val="auto"/>
          <w:sz w:val="24"/>
          <w:szCs w:val="24"/>
          <w:highlight w:val="none"/>
          <w:lang w:val="en-US" w:eastAsia="zh-CN"/>
        </w:rPr>
        <w:t>6.我方</w:t>
      </w:r>
      <w:r>
        <w:rPr>
          <w:rFonts w:hint="eastAsia" w:cs="宋体" w:asciiTheme="minorEastAsia" w:hAnsiTheme="minorEastAsia"/>
          <w:color w:val="auto"/>
          <w:sz w:val="24"/>
          <w:szCs w:val="24"/>
          <w:highlight w:val="none"/>
          <w:lang w:eastAsia="zh-CN"/>
        </w:rPr>
        <w:t>未被列入“信用中国”网站（www.creditchina.gov.cn）“记录失信被执行人或重大税收违法失信主体”记录名单；不处于中国政府采购网（www.ccgp.gov.cn）“政府采购严重违法失信行为信息记录”中的禁止参加政府采购活动期间。</w:t>
      </w:r>
    </w:p>
    <w:p w14:paraId="5BAFAF7B">
      <w:pPr>
        <w:spacing w:line="360" w:lineRule="auto"/>
        <w:ind w:firstLine="648" w:firstLineChars="270"/>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7.我方的法定代表人或单位负责人与所参投本采购项目同一合同项下的其他报价人的法定代表人或单位负责人不为同一人且与其他报价人之间不存在直接控股、管理关系。</w:t>
      </w:r>
    </w:p>
    <w:p w14:paraId="5AEE37C3">
      <w:pPr>
        <w:spacing w:line="360" w:lineRule="auto"/>
        <w:ind w:firstLine="648" w:firstLineChars="270"/>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lang w:val="en-US" w:eastAsia="zh-CN"/>
        </w:rPr>
        <w:t>8.</w:t>
      </w:r>
      <w:r>
        <w:rPr>
          <w:rFonts w:hint="eastAsia" w:asciiTheme="minorEastAsia" w:hAnsiTheme="minorEastAsia" w:eastAsiaTheme="minorEastAsia"/>
          <w:color w:val="auto"/>
          <w:sz w:val="24"/>
          <w:szCs w:val="24"/>
          <w:highlight w:val="none"/>
        </w:rPr>
        <w:t>在法律上、财务上和运作上完全独立于</w:t>
      </w:r>
      <w:r>
        <w:rPr>
          <w:rFonts w:hint="eastAsia" w:asciiTheme="minorEastAsia" w:hAnsiTheme="minorEastAsia" w:eastAsiaTheme="minorEastAsia"/>
          <w:color w:val="auto"/>
          <w:sz w:val="24"/>
          <w:szCs w:val="24"/>
          <w:highlight w:val="none"/>
          <w:lang w:eastAsia="zh-CN"/>
        </w:rPr>
        <w:t>广州市农科所科技发展有限公司。</w:t>
      </w:r>
    </w:p>
    <w:p w14:paraId="35B9A969">
      <w:pPr>
        <w:wordWrap w:val="0"/>
        <w:spacing w:line="360" w:lineRule="auto"/>
        <w:rPr>
          <w:rFonts w:cs="宋体" w:asciiTheme="minorEastAsia" w:hAnsiTheme="minorEastAsia" w:eastAsiaTheme="minorEastAsia"/>
          <w:color w:val="auto"/>
          <w:sz w:val="24"/>
          <w:szCs w:val="24"/>
          <w:highlight w:val="none"/>
        </w:rPr>
      </w:pPr>
    </w:p>
    <w:p w14:paraId="21D4234A">
      <w:pPr>
        <w:wordWrap w:val="0"/>
        <w:spacing w:line="360" w:lineRule="auto"/>
        <w:ind w:firstLine="645"/>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 xml:space="preserve">                                       </w:t>
      </w:r>
    </w:p>
    <w:p w14:paraId="5AD589E5">
      <w:pPr>
        <w:wordWrap w:val="0"/>
        <w:spacing w:line="360" w:lineRule="auto"/>
        <w:ind w:firstLine="645"/>
        <w:jc w:val="right"/>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 xml:space="preserve">                   </w:t>
      </w:r>
    </w:p>
    <w:p w14:paraId="21134235">
      <w:pPr>
        <w:spacing w:line="360" w:lineRule="auto"/>
        <w:ind w:left="4253" w:leftChars="2025"/>
        <w:jc w:val="righ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投标人名称（单位公章）：</w:t>
      </w:r>
    </w:p>
    <w:p w14:paraId="1BB19A4D">
      <w:pPr>
        <w:spacing w:line="360" w:lineRule="auto"/>
        <w:ind w:firstLine="4200" w:firstLineChars="175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szCs w:val="24"/>
          <w:highlight w:val="none"/>
        </w:rPr>
        <w:t>日期：</w:t>
      </w:r>
      <w:r>
        <w:rPr>
          <w:rFonts w:hint="eastAsia" w:cs="Arial" w:asciiTheme="minorEastAsia" w:hAnsiTheme="minorEastAsia" w:eastAsiaTheme="minorEastAsia"/>
          <w:color w:val="auto"/>
          <w:sz w:val="24"/>
          <w:szCs w:val="24"/>
          <w:highlight w:val="none"/>
        </w:rPr>
        <w:t xml:space="preserve">   年   月   日</w:t>
      </w:r>
    </w:p>
    <w:p w14:paraId="2FBDDC18">
      <w:pPr>
        <w:spacing w:line="360" w:lineRule="auto"/>
        <w:rPr>
          <w:rFonts w:asciiTheme="minorEastAsia" w:hAnsiTheme="minorEastAsia" w:eastAsiaTheme="minorEastAsia"/>
          <w:b/>
          <w:color w:val="auto"/>
          <w:szCs w:val="21"/>
          <w:highlight w:val="none"/>
        </w:rPr>
      </w:pPr>
    </w:p>
    <w:p w14:paraId="217EBFFF">
      <w:pPr>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rPr>
        <w:br w:type="page"/>
      </w:r>
    </w:p>
    <w:p w14:paraId="3AF2C885">
      <w:pPr>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b/>
          <w:color w:val="auto"/>
          <w:sz w:val="24"/>
          <w:szCs w:val="24"/>
          <w:highlight w:val="none"/>
          <w:lang w:val="en-GB"/>
        </w:rPr>
        <w:t>附件</w:t>
      </w:r>
      <w:r>
        <w:rPr>
          <w:rFonts w:hint="eastAsia" w:asciiTheme="minorEastAsia" w:hAnsiTheme="minorEastAsia" w:eastAsiaTheme="minorEastAsia"/>
          <w:b/>
          <w:color w:val="auto"/>
          <w:sz w:val="24"/>
          <w:szCs w:val="24"/>
          <w:highlight w:val="none"/>
        </w:rPr>
        <w:t>6</w:t>
      </w:r>
      <w:r>
        <w:rPr>
          <w:rFonts w:hint="eastAsia" w:asciiTheme="minorEastAsia" w:hAnsiTheme="minorEastAsia" w:eastAsiaTheme="minorEastAsia"/>
          <w:b/>
          <w:color w:val="auto"/>
          <w:sz w:val="24"/>
          <w:szCs w:val="24"/>
          <w:highlight w:val="none"/>
          <w:lang w:val="en-GB"/>
        </w:rPr>
        <w:t>：</w:t>
      </w:r>
    </w:p>
    <w:p w14:paraId="33F1D9F4">
      <w:pPr>
        <w:jc w:val="center"/>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rPr>
        <w:t>开标一览表</w:t>
      </w:r>
    </w:p>
    <w:p w14:paraId="5B7850EA">
      <w:pPr>
        <w:spacing w:line="360" w:lineRule="auto"/>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rPr>
        <w:t>项目名称：</w:t>
      </w:r>
      <w:r>
        <w:rPr>
          <w:rFonts w:hint="eastAsia" w:ascii="宋体" w:hAnsi="宋体" w:cs="宋体" w:eastAsiaTheme="minorEastAsia"/>
          <w:color w:val="auto"/>
          <w:sz w:val="24"/>
          <w:szCs w:val="24"/>
          <w:highlight w:val="none"/>
          <w:lang w:eastAsia="zh-CN"/>
        </w:rPr>
        <w:t>广州市农科院鲜蔬火锅餐厅VI品牌策划设计全案整装招标</w:t>
      </w:r>
      <w:r>
        <w:rPr>
          <w:rFonts w:hint="eastAsia" w:asciiTheme="minorEastAsia" w:hAnsiTheme="minorEastAsia" w:eastAsiaTheme="minorEastAsia"/>
          <w:bCs/>
          <w:color w:val="auto"/>
          <w:sz w:val="24"/>
          <w:szCs w:val="24"/>
          <w:highlight w:val="none"/>
          <w:u w:val="single"/>
        </w:rPr>
        <w:t xml:space="preserve">   </w:t>
      </w:r>
    </w:p>
    <w:p w14:paraId="50F67CBA">
      <w:pPr>
        <w:spacing w:line="360" w:lineRule="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项目编号：</w:t>
      </w:r>
      <w:r>
        <w:rPr>
          <w:rFonts w:hint="eastAsia" w:asciiTheme="minorEastAsia" w:hAnsiTheme="minorEastAsia" w:eastAsiaTheme="minorEastAsia"/>
          <w:color w:val="auto"/>
          <w:kern w:val="2"/>
          <w:sz w:val="24"/>
          <w:szCs w:val="24"/>
          <w:highlight w:val="none"/>
          <w:lang w:val="en-GB" w:eastAsia="zh-CN"/>
        </w:rPr>
        <w:t>ZYNK20250501</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09"/>
        <w:gridCol w:w="3550"/>
        <w:gridCol w:w="3239"/>
      </w:tblGrid>
      <w:tr w14:paraId="37EF6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1" w:hRule="atLeast"/>
          <w:jc w:val="center"/>
        </w:trPr>
        <w:tc>
          <w:tcPr>
            <w:tcW w:w="3009" w:type="dxa"/>
            <w:shd w:val="clear" w:color="auto" w:fill="EEECE1"/>
            <w:noWrap w:val="0"/>
            <w:vAlign w:val="center"/>
          </w:tcPr>
          <w:p w14:paraId="2D723D93">
            <w:pPr>
              <w:spacing w:line="360" w:lineRule="auto"/>
              <w:jc w:val="center"/>
              <w:rPr>
                <w:rFonts w:hint="eastAsia" w:hAnsi="宋体" w:cs="宋体"/>
                <w:b/>
                <w:color w:val="auto"/>
                <w:sz w:val="21"/>
                <w:szCs w:val="21"/>
                <w:highlight w:val="none"/>
              </w:rPr>
            </w:pPr>
            <w:r>
              <w:rPr>
                <w:rFonts w:hint="eastAsia" w:hAnsi="宋体" w:cs="宋体"/>
                <w:b/>
                <w:color w:val="auto"/>
                <w:sz w:val="21"/>
                <w:szCs w:val="21"/>
                <w:highlight w:val="none"/>
              </w:rPr>
              <w:t>投标人名称</w:t>
            </w:r>
          </w:p>
        </w:tc>
        <w:tc>
          <w:tcPr>
            <w:tcW w:w="3550" w:type="dxa"/>
            <w:shd w:val="clear" w:color="auto" w:fill="EEECE1"/>
            <w:noWrap w:val="0"/>
            <w:vAlign w:val="center"/>
          </w:tcPr>
          <w:p w14:paraId="63266272">
            <w:pPr>
              <w:jc w:val="center"/>
              <w:rPr>
                <w:rFonts w:hint="eastAsia" w:hAnsi="宋体" w:cs="宋体"/>
                <w:b/>
                <w:color w:val="auto"/>
                <w:sz w:val="21"/>
                <w:szCs w:val="21"/>
                <w:highlight w:val="none"/>
              </w:rPr>
            </w:pPr>
            <w:r>
              <w:rPr>
                <w:rFonts w:hint="eastAsia" w:hAnsi="宋体" w:cs="宋体"/>
                <w:b/>
                <w:color w:val="auto"/>
                <w:sz w:val="21"/>
                <w:szCs w:val="21"/>
                <w:highlight w:val="none"/>
              </w:rPr>
              <w:t>投标总报价</w:t>
            </w:r>
          </w:p>
          <w:p w14:paraId="73F2885C">
            <w:pPr>
              <w:jc w:val="center"/>
              <w:rPr>
                <w:rFonts w:hint="eastAsia" w:hAnsi="宋体" w:cs="宋体"/>
                <w:b/>
                <w:color w:val="auto"/>
                <w:sz w:val="21"/>
                <w:szCs w:val="21"/>
                <w:highlight w:val="none"/>
              </w:rPr>
            </w:pPr>
            <w:r>
              <w:rPr>
                <w:rFonts w:hint="eastAsia" w:hAnsi="宋体" w:cs="宋体"/>
                <w:b/>
                <w:color w:val="auto"/>
                <w:sz w:val="21"/>
                <w:szCs w:val="21"/>
                <w:highlight w:val="none"/>
              </w:rPr>
              <w:t>（人民币/元）</w:t>
            </w:r>
          </w:p>
        </w:tc>
        <w:tc>
          <w:tcPr>
            <w:tcW w:w="3239" w:type="dxa"/>
            <w:tcBorders>
              <w:left w:val="single" w:color="auto" w:sz="4" w:space="0"/>
            </w:tcBorders>
            <w:shd w:val="clear" w:color="auto" w:fill="EEECE1"/>
            <w:noWrap w:val="0"/>
            <w:vAlign w:val="center"/>
          </w:tcPr>
          <w:p w14:paraId="72A1823C">
            <w:pPr>
              <w:jc w:val="center"/>
              <w:rPr>
                <w:rFonts w:hint="eastAsia" w:hAnsi="宋体" w:cs="宋体"/>
                <w:b/>
                <w:color w:val="auto"/>
                <w:sz w:val="21"/>
                <w:szCs w:val="21"/>
                <w:highlight w:val="none"/>
              </w:rPr>
            </w:pPr>
            <w:r>
              <w:rPr>
                <w:rFonts w:hint="eastAsia" w:hAnsi="宋体" w:cs="宋体"/>
                <w:b/>
                <w:color w:val="auto"/>
                <w:sz w:val="21"/>
                <w:szCs w:val="21"/>
                <w:highlight w:val="none"/>
              </w:rPr>
              <w:t>项目工期</w:t>
            </w:r>
          </w:p>
        </w:tc>
      </w:tr>
      <w:tr w14:paraId="70E5EF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14" w:hRule="atLeast"/>
          <w:jc w:val="center"/>
        </w:trPr>
        <w:tc>
          <w:tcPr>
            <w:tcW w:w="3009" w:type="dxa"/>
            <w:noWrap w:val="0"/>
            <w:vAlign w:val="center"/>
          </w:tcPr>
          <w:p w14:paraId="1EAB28EE">
            <w:pPr>
              <w:jc w:val="center"/>
              <w:rPr>
                <w:rFonts w:hint="eastAsia" w:hAnsi="宋体" w:cs="宋体"/>
                <w:color w:val="auto"/>
                <w:sz w:val="21"/>
                <w:szCs w:val="21"/>
                <w:highlight w:val="none"/>
              </w:rPr>
            </w:pPr>
          </w:p>
        </w:tc>
        <w:tc>
          <w:tcPr>
            <w:tcW w:w="3550" w:type="dxa"/>
            <w:noWrap w:val="0"/>
            <w:vAlign w:val="center"/>
          </w:tcPr>
          <w:p w14:paraId="7BB2EF30">
            <w:pPr>
              <w:spacing w:line="360" w:lineRule="auto"/>
              <w:rPr>
                <w:rFonts w:hint="eastAsia" w:hAnsi="宋体" w:cs="宋体"/>
                <w:bCs/>
                <w:color w:val="auto"/>
                <w:sz w:val="21"/>
                <w:szCs w:val="21"/>
                <w:highlight w:val="none"/>
                <w:u w:val="single"/>
              </w:rPr>
            </w:pPr>
            <w:r>
              <w:rPr>
                <w:rFonts w:hint="eastAsia" w:hAnsi="宋体" w:cs="宋体"/>
                <w:bCs/>
                <w:color w:val="auto"/>
                <w:sz w:val="21"/>
                <w:szCs w:val="21"/>
                <w:highlight w:val="none"/>
              </w:rPr>
              <w:t>小写：RMB</w:t>
            </w:r>
            <w:r>
              <w:rPr>
                <w:rFonts w:hint="eastAsia" w:hAnsi="宋体" w:cs="宋体"/>
                <w:bCs/>
                <w:color w:val="auto"/>
                <w:sz w:val="21"/>
                <w:szCs w:val="21"/>
                <w:highlight w:val="none"/>
                <w:u w:val="single"/>
              </w:rPr>
              <w:t xml:space="preserve">                  </w:t>
            </w:r>
          </w:p>
          <w:p w14:paraId="6564E41F">
            <w:pPr>
              <w:spacing w:line="360" w:lineRule="auto"/>
              <w:rPr>
                <w:rFonts w:hint="eastAsia" w:hAnsi="宋体" w:cs="宋体"/>
                <w:bCs/>
                <w:color w:val="auto"/>
                <w:sz w:val="21"/>
                <w:szCs w:val="21"/>
                <w:highlight w:val="none"/>
                <w:u w:val="single"/>
              </w:rPr>
            </w:pPr>
            <w:r>
              <w:rPr>
                <w:rFonts w:hint="eastAsia" w:hAnsi="宋体" w:cs="宋体"/>
                <w:bCs/>
                <w:color w:val="auto"/>
                <w:sz w:val="21"/>
                <w:szCs w:val="21"/>
                <w:highlight w:val="none"/>
              </w:rPr>
              <w:t>大写：</w:t>
            </w:r>
            <w:r>
              <w:rPr>
                <w:rFonts w:hint="eastAsia" w:hAnsi="宋体" w:cs="宋体"/>
                <w:bCs/>
                <w:color w:val="auto"/>
                <w:sz w:val="21"/>
                <w:szCs w:val="21"/>
                <w:highlight w:val="none"/>
                <w:u w:val="single"/>
              </w:rPr>
              <w:t xml:space="preserve">                     </w:t>
            </w:r>
          </w:p>
        </w:tc>
        <w:tc>
          <w:tcPr>
            <w:tcW w:w="3239" w:type="dxa"/>
            <w:tcBorders>
              <w:left w:val="single" w:color="auto" w:sz="4" w:space="0"/>
            </w:tcBorders>
            <w:noWrap w:val="0"/>
            <w:vAlign w:val="center"/>
          </w:tcPr>
          <w:p w14:paraId="2AA52041">
            <w:pPr>
              <w:jc w:val="center"/>
              <w:rPr>
                <w:rFonts w:hint="eastAsia" w:hAnsi="宋体" w:cs="宋体"/>
                <w:b/>
                <w:color w:val="auto"/>
                <w:sz w:val="21"/>
                <w:szCs w:val="21"/>
                <w:highlight w:val="none"/>
              </w:rPr>
            </w:pPr>
          </w:p>
        </w:tc>
      </w:tr>
    </w:tbl>
    <w:p w14:paraId="5E9FF75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注：</w:t>
      </w:r>
    </w:p>
    <w:p w14:paraId="2A6E4A78">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注:1.投标人应按“招标人需求”的要求，根据实际情况进行报价。本表内的投标总报价为最终报价，投标文件内不得含有任何对本报价进行修改的其他说明，否则将被视为无效投标；</w:t>
      </w:r>
    </w:p>
    <w:p w14:paraId="4F11BBCB">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2.投标总报价包括了中标人完成本项目所需的一切工作内容而发生的所有直接费用、间接费用、其它费用、税金等全部费用和中标人要求获得的利润以及应由中标人承担的义务、责任和风险所发生的一切费用；</w:t>
      </w:r>
    </w:p>
    <w:p w14:paraId="635DE230">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3.本投标价为固定不变价；</w:t>
      </w:r>
    </w:p>
    <w:p w14:paraId="67373ED8">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rPr>
        <w:t>4.投标总报价以人民币元为单位，保留小数点后两位；</w:t>
      </w:r>
    </w:p>
    <w:p w14:paraId="673F863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5.本表格须附在正副的投标文件中，并另封装一份在 “</w:t>
      </w:r>
      <w:r>
        <w:rPr>
          <w:rFonts w:hint="eastAsia" w:ascii="宋体" w:hAnsi="宋体"/>
          <w:color w:val="auto"/>
          <w:sz w:val="24"/>
          <w:szCs w:val="24"/>
          <w:highlight w:val="none"/>
          <w:lang w:val="en-US" w:eastAsia="zh-CN"/>
        </w:rPr>
        <w:t>开标</w:t>
      </w:r>
      <w:r>
        <w:rPr>
          <w:rFonts w:hint="eastAsia" w:ascii="宋体" w:hAnsi="宋体"/>
          <w:color w:val="auto"/>
          <w:sz w:val="24"/>
          <w:szCs w:val="24"/>
          <w:highlight w:val="none"/>
        </w:rPr>
        <w:t>信封”内。</w:t>
      </w:r>
    </w:p>
    <w:p w14:paraId="7953514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投标人名称（单位公章）：</w:t>
      </w:r>
    </w:p>
    <w:p w14:paraId="3146C20C">
      <w:pPr>
        <w:spacing w:line="360" w:lineRule="auto"/>
        <w:ind w:right="520"/>
        <w:jc w:val="both"/>
        <w:rPr>
          <w:rFonts w:ascii="宋体" w:hAnsi="宋体" w:cs="宋体"/>
          <w:color w:val="auto"/>
          <w:sz w:val="24"/>
          <w:szCs w:val="24"/>
          <w:highlight w:val="none"/>
        </w:rPr>
      </w:pPr>
      <w:r>
        <w:rPr>
          <w:rFonts w:hint="eastAsia" w:ascii="宋体" w:hAnsi="宋体" w:cs="宋体"/>
          <w:color w:val="auto"/>
          <w:sz w:val="24"/>
          <w:szCs w:val="24"/>
          <w:highlight w:val="none"/>
        </w:rPr>
        <w:t xml:space="preserve">                               法定代表人或授权代表（签名或盖章）：</w:t>
      </w:r>
    </w:p>
    <w:p w14:paraId="27BBCD24">
      <w:pPr>
        <w:spacing w:line="360" w:lineRule="auto"/>
        <w:rPr>
          <w:rFonts w:ascii="宋体" w:hAnsi="宋体" w:cs="宋体"/>
          <w:b/>
          <w:iCs/>
          <w:color w:val="auto"/>
          <w:kern w:val="2"/>
          <w:sz w:val="30"/>
          <w:szCs w:val="30"/>
          <w:highlight w:val="none"/>
        </w:rPr>
      </w:pPr>
      <w:r>
        <w:rPr>
          <w:rFonts w:hint="eastAsia" w:ascii="宋体" w:hAnsi="宋体"/>
          <w:color w:val="auto"/>
          <w:sz w:val="24"/>
          <w:szCs w:val="24"/>
          <w:highlight w:val="none"/>
        </w:rPr>
        <w:t xml:space="preserve">                               日         期：       年   月   日</w:t>
      </w:r>
    </w:p>
    <w:p w14:paraId="3892EB5F">
      <w:pPr>
        <w:rPr>
          <w:rFonts w:ascii="宋体" w:hAnsi="宋体" w:cs="宋体"/>
          <w:b/>
          <w:iCs/>
          <w:color w:val="auto"/>
          <w:kern w:val="2"/>
          <w:sz w:val="30"/>
          <w:szCs w:val="30"/>
          <w:highlight w:val="none"/>
        </w:rPr>
      </w:pPr>
      <w:r>
        <w:rPr>
          <w:rFonts w:hint="eastAsia" w:ascii="宋体" w:hAnsi="宋体" w:cs="宋体"/>
          <w:b/>
          <w:iCs/>
          <w:color w:val="auto"/>
          <w:kern w:val="2"/>
          <w:sz w:val="30"/>
          <w:szCs w:val="30"/>
          <w:highlight w:val="none"/>
        </w:rPr>
        <w:br w:type="page"/>
      </w:r>
    </w:p>
    <w:p w14:paraId="5B11F2B2">
      <w:pPr>
        <w:widowControl w:val="0"/>
        <w:spacing w:line="480" w:lineRule="atLeast"/>
        <w:jc w:val="center"/>
        <w:rPr>
          <w:rFonts w:ascii="宋体" w:hAnsi="宋体" w:cs="宋体"/>
          <w:b/>
          <w:iCs/>
          <w:color w:val="auto"/>
          <w:kern w:val="2"/>
          <w:sz w:val="30"/>
          <w:szCs w:val="30"/>
          <w:highlight w:val="none"/>
        </w:rPr>
        <w:sectPr>
          <w:pgSz w:w="11906" w:h="16838"/>
          <w:pgMar w:top="1418" w:right="1247" w:bottom="993" w:left="1247" w:header="851" w:footer="684" w:gutter="0"/>
          <w:cols w:space="720" w:num="1"/>
          <w:titlePg/>
          <w:docGrid w:type="lines" w:linePitch="312" w:charSpace="0"/>
        </w:sectPr>
      </w:pPr>
    </w:p>
    <w:p w14:paraId="347E10C7">
      <w:pPr>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b/>
          <w:color w:val="auto"/>
          <w:sz w:val="24"/>
          <w:szCs w:val="24"/>
          <w:highlight w:val="none"/>
        </w:rPr>
        <w:t>附件7：</w:t>
      </w:r>
    </w:p>
    <w:p w14:paraId="2DC9DBAA">
      <w:pPr>
        <w:jc w:val="center"/>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lang w:val="en-GB"/>
        </w:rPr>
        <w:t xml:space="preserve">  法定代表人</w:t>
      </w:r>
      <w:r>
        <w:rPr>
          <w:rFonts w:hint="eastAsia" w:asciiTheme="minorEastAsia" w:hAnsiTheme="minorEastAsia" w:eastAsiaTheme="minorEastAsia"/>
          <w:b/>
          <w:color w:val="auto"/>
          <w:sz w:val="28"/>
          <w:szCs w:val="28"/>
          <w:highlight w:val="none"/>
        </w:rPr>
        <w:t>证明书</w:t>
      </w:r>
    </w:p>
    <w:p w14:paraId="7DC1F559">
      <w:pPr>
        <w:jc w:val="center"/>
        <w:rPr>
          <w:rFonts w:asciiTheme="minorEastAsia" w:hAnsiTheme="minorEastAsia" w:eastAsiaTheme="minorEastAsia"/>
          <w:b/>
          <w:color w:val="auto"/>
          <w:sz w:val="28"/>
          <w:szCs w:val="28"/>
          <w:highlight w:val="none"/>
        </w:rPr>
      </w:pPr>
    </w:p>
    <w:p w14:paraId="00AA87AB">
      <w:pPr>
        <w:spacing w:line="500" w:lineRule="exact"/>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8"/>
          <w:szCs w:val="28"/>
          <w:highlight w:val="none"/>
        </w:rPr>
        <w:t xml:space="preserve">     </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（身份证号码：</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 xml:space="preserve"> ）在我方（或者企业、单位）任</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职务，是我公司（或者企业、单位）的法定代表人/负责人。</w:t>
      </w:r>
    </w:p>
    <w:p w14:paraId="7889F383">
      <w:pPr>
        <w:spacing w:line="500" w:lineRule="exact"/>
        <w:ind w:firstLine="808" w:firstLineChars="337"/>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特此证明。</w:t>
      </w:r>
    </w:p>
    <w:p w14:paraId="6143D9D3">
      <w:pPr>
        <w:spacing w:line="500" w:lineRule="exact"/>
        <w:jc w:val="both"/>
        <w:rPr>
          <w:rFonts w:asciiTheme="minorEastAsia" w:hAnsiTheme="minorEastAsia" w:eastAsiaTheme="minorEastAsia"/>
          <w:color w:val="auto"/>
          <w:sz w:val="24"/>
          <w:szCs w:val="24"/>
          <w:highlight w:val="none"/>
        </w:rPr>
      </w:pPr>
    </w:p>
    <w:p w14:paraId="7B0C2E58">
      <w:pPr>
        <w:spacing w:line="500" w:lineRule="exact"/>
        <w:ind w:left="4253" w:leftChars="2025" w:firstLine="960" w:firstLineChars="4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投标人名称（单位公章）：</w:t>
      </w:r>
    </w:p>
    <w:p w14:paraId="28150A29">
      <w:pPr>
        <w:spacing w:line="500" w:lineRule="exact"/>
        <w:ind w:left="4471" w:leftChars="2129" w:firstLine="696" w:firstLineChars="29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日期：</w:t>
      </w:r>
      <w:r>
        <w:rPr>
          <w:rFonts w:hint="eastAsia" w:cs="Arial" w:asciiTheme="minorEastAsia" w:hAnsiTheme="minorEastAsia" w:eastAsiaTheme="minorEastAsia"/>
          <w:color w:val="auto"/>
          <w:sz w:val="24"/>
          <w:szCs w:val="24"/>
          <w:highlight w:val="none"/>
        </w:rPr>
        <w:t xml:space="preserve">   年   月   日</w:t>
      </w:r>
    </w:p>
    <w:p w14:paraId="78F545E5">
      <w:pPr>
        <w:pStyle w:val="23"/>
        <w:spacing w:line="460" w:lineRule="exact"/>
        <w:ind w:left="2"/>
        <w:jc w:val="both"/>
        <w:rPr>
          <w:rFonts w:cs="仿宋_GB2312" w:asciiTheme="minorEastAsia" w:hAnsiTheme="minorEastAsia" w:eastAsiaTheme="minorEastAsia"/>
          <w:color w:val="auto"/>
          <w:sz w:val="24"/>
          <w:szCs w:val="24"/>
          <w:highlight w:val="none"/>
          <w:lang w:val="zh-CN"/>
        </w:rPr>
      </w:pPr>
    </w:p>
    <w:p w14:paraId="1E1FC5EE">
      <w:pPr>
        <w:pStyle w:val="23"/>
        <w:spacing w:line="460" w:lineRule="exact"/>
        <w:ind w:left="2"/>
        <w:jc w:val="both"/>
        <w:rPr>
          <w:rFonts w:cs="仿宋_GB2312" w:asciiTheme="minorEastAsia" w:hAnsiTheme="minorEastAsia" w:eastAsiaTheme="minorEastAsia"/>
          <w:color w:val="auto"/>
          <w:sz w:val="24"/>
          <w:szCs w:val="24"/>
          <w:highlight w:val="none"/>
          <w:lang w:val="zh-CN"/>
        </w:rPr>
      </w:pPr>
      <w:r>
        <w:rPr>
          <w:rFonts w:hint="eastAsia" w:cs="仿宋_GB2312" w:asciiTheme="minorEastAsia" w:hAnsiTheme="minorEastAsia" w:eastAsiaTheme="minorEastAsia"/>
          <w:color w:val="auto"/>
          <w:sz w:val="24"/>
          <w:szCs w:val="24"/>
          <w:highlight w:val="none"/>
          <w:lang w:val="zh-CN"/>
        </w:rPr>
        <w:t>附：法定代表人身份证正反面复印件</w:t>
      </w:r>
    </w:p>
    <w:p w14:paraId="06EBECC1">
      <w:pPr>
        <w:pStyle w:val="23"/>
        <w:spacing w:line="460" w:lineRule="exact"/>
        <w:ind w:left="2"/>
        <w:jc w:val="both"/>
        <w:rPr>
          <w:rFonts w:cs="仿宋_GB2312" w:asciiTheme="minorEastAsia" w:hAnsiTheme="minorEastAsia" w:eastAsiaTheme="minorEastAsia"/>
          <w:color w:val="auto"/>
          <w:sz w:val="24"/>
          <w:szCs w:val="24"/>
          <w:highlight w:val="none"/>
          <w:lang w:val="zh-CN"/>
        </w:rPr>
      </w:pPr>
    </w:p>
    <w:p w14:paraId="687765FB">
      <w:pPr>
        <w:pStyle w:val="23"/>
        <w:spacing w:line="460" w:lineRule="exact"/>
        <w:ind w:left="2"/>
        <w:jc w:val="both"/>
        <w:rPr>
          <w:rFonts w:cs="仿宋_GB2312" w:asciiTheme="minorEastAsia" w:hAnsiTheme="minorEastAsia" w:eastAsiaTheme="minorEastAsia"/>
          <w:color w:val="auto"/>
          <w:sz w:val="24"/>
          <w:szCs w:val="24"/>
          <w:highlight w:val="none"/>
          <w:lang w:val="zh-CN"/>
        </w:rPr>
      </w:pPr>
    </w:p>
    <w:p w14:paraId="34DACC66">
      <w:pPr>
        <w:pStyle w:val="23"/>
        <w:spacing w:line="460" w:lineRule="exact"/>
        <w:ind w:left="2"/>
        <w:jc w:val="both"/>
        <w:rPr>
          <w:rFonts w:cs="仿宋_GB2312" w:asciiTheme="minorEastAsia" w:hAnsiTheme="minorEastAsia" w:eastAsiaTheme="minorEastAsia"/>
          <w:color w:val="auto"/>
          <w:sz w:val="24"/>
          <w:szCs w:val="24"/>
          <w:highlight w:val="none"/>
          <w:lang w:val="zh-CN"/>
        </w:rPr>
      </w:pPr>
      <w:r>
        <w:rPr>
          <w:rFonts w:hint="eastAsia" w:cs="仿宋_GB2312" w:asciiTheme="minorEastAsia" w:hAnsiTheme="minorEastAsia" w:eastAsiaTheme="minorEastAsia"/>
          <w:color w:val="auto"/>
          <w:sz w:val="24"/>
          <w:szCs w:val="24"/>
          <w:highlight w:val="none"/>
          <w:lang w:val="zh-CN"/>
        </w:rPr>
        <w:t>说明：</w:t>
      </w:r>
    </w:p>
    <w:p w14:paraId="4830D0FF">
      <w:pPr>
        <w:pStyle w:val="23"/>
        <w:spacing w:line="460" w:lineRule="exact"/>
        <w:ind w:left="2" w:firstLine="520" w:firstLineChars="217"/>
        <w:jc w:val="both"/>
        <w:rPr>
          <w:rFonts w:cs="仿宋_GB2312" w:asciiTheme="minorEastAsia" w:hAnsiTheme="minorEastAsia" w:eastAsiaTheme="minorEastAsia"/>
          <w:color w:val="auto"/>
          <w:sz w:val="24"/>
          <w:szCs w:val="24"/>
          <w:highlight w:val="none"/>
          <w:lang w:val="zh-CN"/>
        </w:rPr>
      </w:pPr>
      <w:r>
        <w:rPr>
          <w:rFonts w:hint="eastAsia" w:cs="仿宋_GB2312" w:asciiTheme="minorEastAsia" w:hAnsiTheme="minorEastAsia" w:eastAsiaTheme="minorEastAsia"/>
          <w:color w:val="auto"/>
          <w:sz w:val="24"/>
          <w:szCs w:val="24"/>
          <w:highlight w:val="none"/>
          <w:lang w:val="zh-CN"/>
        </w:rPr>
        <w:t>法定代表人参加开标会的，签到时提交法定代表人证明书。可使用上述格式，也可使用工商部门统一印制的法定代表人证明书格式。</w:t>
      </w:r>
    </w:p>
    <w:p w14:paraId="6E394596">
      <w:pPr>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b/>
          <w:color w:val="auto"/>
          <w:sz w:val="24"/>
          <w:szCs w:val="24"/>
          <w:highlight w:val="none"/>
          <w:lang w:val="en-GB"/>
        </w:rPr>
        <w:br w:type="page"/>
      </w:r>
      <w:r>
        <w:rPr>
          <w:rFonts w:hint="eastAsia" w:asciiTheme="minorEastAsia" w:hAnsiTheme="minorEastAsia" w:eastAsiaTheme="minorEastAsia"/>
          <w:b/>
          <w:color w:val="auto"/>
          <w:sz w:val="24"/>
          <w:szCs w:val="24"/>
          <w:highlight w:val="none"/>
        </w:rPr>
        <w:t>附件8：</w:t>
      </w:r>
    </w:p>
    <w:p w14:paraId="0993F902">
      <w:pPr>
        <w:ind w:firstLine="562"/>
        <w:jc w:val="center"/>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rPr>
        <w:t>授权委托证明书</w:t>
      </w:r>
    </w:p>
    <w:p w14:paraId="59B41B5A">
      <w:pPr>
        <w:pStyle w:val="102"/>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　　</w:t>
      </w:r>
    </w:p>
    <w:p w14:paraId="7ECD03FC">
      <w:pPr>
        <w:pStyle w:val="102"/>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color w:val="auto"/>
          <w:sz w:val="24"/>
          <w:szCs w:val="24"/>
          <w:highlight w:val="none"/>
          <w:lang w:eastAsia="zh-CN"/>
        </w:rPr>
        <w:t>广州市农科所科技发展有限公司</w:t>
      </w:r>
      <w:r>
        <w:rPr>
          <w:rFonts w:hint="eastAsia" w:asciiTheme="minorEastAsia" w:hAnsiTheme="minorEastAsia" w:eastAsiaTheme="minorEastAsia"/>
          <w:bCs/>
          <w:color w:val="auto"/>
          <w:sz w:val="24"/>
          <w:szCs w:val="24"/>
          <w:highlight w:val="none"/>
        </w:rPr>
        <w:t>/</w:t>
      </w:r>
      <w:r>
        <w:rPr>
          <w:rFonts w:hint="eastAsia" w:hAnsi="宋体" w:cs="宋体" w:eastAsiaTheme="minorEastAsia"/>
          <w:color w:val="auto"/>
          <w:sz w:val="24"/>
          <w:szCs w:val="24"/>
          <w:highlight w:val="none"/>
          <w:lang w:eastAsia="zh-CN"/>
        </w:rPr>
        <w:t>广州众源建设管理有限公司</w:t>
      </w:r>
      <w:r>
        <w:rPr>
          <w:rFonts w:hint="eastAsia" w:asciiTheme="minorEastAsia" w:hAnsiTheme="minorEastAsia" w:eastAsiaTheme="minorEastAsia"/>
          <w:bCs/>
          <w:color w:val="auto"/>
          <w:sz w:val="24"/>
          <w:szCs w:val="24"/>
          <w:highlight w:val="none"/>
        </w:rPr>
        <w:t>：</w:t>
      </w:r>
    </w:p>
    <w:p w14:paraId="202CBE0C">
      <w:pPr>
        <w:pStyle w:val="102"/>
        <w:spacing w:line="360" w:lineRule="auto"/>
        <w:rPr>
          <w:rFonts w:asciiTheme="minorEastAsia" w:hAnsiTheme="minorEastAsia" w:eastAsiaTheme="minorEastAsia"/>
          <w:bCs/>
          <w:color w:val="auto"/>
          <w:sz w:val="24"/>
          <w:szCs w:val="24"/>
          <w:highlight w:val="none"/>
        </w:rPr>
      </w:pPr>
    </w:p>
    <w:p w14:paraId="3CE637E9">
      <w:pPr>
        <w:spacing w:line="360" w:lineRule="auto"/>
        <w:ind w:firstLine="480" w:firstLineChars="200"/>
        <w:jc w:val="both"/>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本人</w:t>
      </w:r>
      <w:r>
        <w:rPr>
          <w:rFonts w:hint="eastAsia" w:asciiTheme="minorEastAsia" w:hAnsiTheme="minorEastAsia" w:eastAsiaTheme="minorEastAsia"/>
          <w:bCs/>
          <w:color w:val="auto"/>
          <w:sz w:val="24"/>
          <w:szCs w:val="24"/>
          <w:highlight w:val="none"/>
          <w:u w:val="single"/>
        </w:rPr>
        <w:t>（姓名）</w:t>
      </w:r>
      <w:r>
        <w:rPr>
          <w:rFonts w:hint="eastAsia" w:asciiTheme="minorEastAsia" w:hAnsiTheme="minorEastAsia" w:eastAsiaTheme="minorEastAsia"/>
          <w:bCs/>
          <w:color w:val="auto"/>
          <w:sz w:val="24"/>
          <w:szCs w:val="24"/>
          <w:highlight w:val="none"/>
        </w:rPr>
        <w:t>系</w:t>
      </w:r>
      <w:r>
        <w:rPr>
          <w:rFonts w:hint="eastAsia" w:asciiTheme="minorEastAsia" w:hAnsiTheme="minorEastAsia" w:eastAsiaTheme="minorEastAsia"/>
          <w:bCs/>
          <w:color w:val="auto"/>
          <w:sz w:val="24"/>
          <w:szCs w:val="24"/>
          <w:highlight w:val="none"/>
          <w:u w:val="single"/>
        </w:rPr>
        <w:t>（投标人名称）</w:t>
      </w:r>
      <w:r>
        <w:rPr>
          <w:rFonts w:hint="eastAsia" w:asciiTheme="minorEastAsia" w:hAnsiTheme="minorEastAsia" w:eastAsiaTheme="minorEastAsia"/>
          <w:bCs/>
          <w:color w:val="auto"/>
          <w:sz w:val="24"/>
          <w:szCs w:val="24"/>
          <w:highlight w:val="none"/>
        </w:rPr>
        <w:t>法定代表人，现授权</w:t>
      </w:r>
      <w:r>
        <w:rPr>
          <w:rFonts w:hint="eastAsia" w:asciiTheme="minorEastAsia" w:hAnsiTheme="minorEastAsia" w:eastAsiaTheme="minorEastAsia"/>
          <w:bCs/>
          <w:color w:val="auto"/>
          <w:sz w:val="24"/>
          <w:szCs w:val="24"/>
          <w:highlight w:val="none"/>
          <w:u w:val="single"/>
        </w:rPr>
        <w:t>（委托代理人姓名）</w:t>
      </w:r>
      <w:r>
        <w:rPr>
          <w:rFonts w:hint="eastAsia" w:asciiTheme="minorEastAsia" w:hAnsiTheme="minorEastAsia" w:eastAsiaTheme="minorEastAsia"/>
          <w:bCs/>
          <w:color w:val="auto"/>
          <w:sz w:val="24"/>
          <w:szCs w:val="24"/>
          <w:highlight w:val="none"/>
        </w:rPr>
        <w:t>为我方合法委托代理人，参加</w:t>
      </w:r>
      <w:r>
        <w:rPr>
          <w:rFonts w:hint="eastAsia" w:ascii="宋体" w:hAnsi="宋体" w:cs="宋体" w:eastAsiaTheme="minorEastAsia"/>
          <w:color w:val="auto"/>
          <w:sz w:val="24"/>
          <w:szCs w:val="24"/>
          <w:highlight w:val="none"/>
          <w:u w:val="single"/>
          <w:lang w:eastAsia="zh-CN"/>
        </w:rPr>
        <w:t>广州市农科院鲜蔬火锅餐厅VI品牌策划设计全案整装招标</w:t>
      </w:r>
      <w:r>
        <w:rPr>
          <w:rFonts w:hint="eastAsia" w:asciiTheme="minorEastAsia" w:hAnsiTheme="minorEastAsia" w:eastAsiaTheme="minorEastAsia"/>
          <w:color w:val="auto"/>
          <w:kern w:val="2"/>
          <w:sz w:val="24"/>
          <w:szCs w:val="24"/>
          <w:highlight w:val="none"/>
          <w:u w:val="single"/>
          <w:lang w:val="en-GB"/>
        </w:rPr>
        <w:t xml:space="preserve"> </w:t>
      </w:r>
      <w:r>
        <w:rPr>
          <w:rFonts w:hint="eastAsia" w:asciiTheme="minorEastAsia" w:hAnsiTheme="minorEastAsia" w:eastAsiaTheme="minorEastAsia"/>
          <w:color w:val="auto"/>
          <w:sz w:val="24"/>
          <w:szCs w:val="24"/>
          <w:highlight w:val="none"/>
          <w:u w:val="single"/>
        </w:rPr>
        <w:t>(项目编号：</w:t>
      </w:r>
      <w:r>
        <w:rPr>
          <w:rFonts w:hint="eastAsia" w:asciiTheme="minorEastAsia" w:hAnsiTheme="minorEastAsia" w:eastAsiaTheme="minorEastAsia"/>
          <w:color w:val="auto"/>
          <w:kern w:val="2"/>
          <w:sz w:val="24"/>
          <w:szCs w:val="24"/>
          <w:highlight w:val="none"/>
          <w:u w:val="single"/>
          <w:lang w:val="en-GB" w:eastAsia="zh-CN"/>
        </w:rPr>
        <w:t>ZYNK20250501</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bCs/>
          <w:color w:val="auto"/>
          <w:sz w:val="24"/>
          <w:szCs w:val="24"/>
          <w:highlight w:val="none"/>
        </w:rPr>
        <w:t>投标活动及相关事宜。该授权代表在本投标活动过程中所签署的一切文件和处理与之有关的一切事务，均代表我方的行为，与本人的行为具有同等的法律效力。我方将承担授权代表行为的一切法律责任后果。</w:t>
      </w:r>
      <w:r>
        <w:rPr>
          <w:rFonts w:hint="eastAsia" w:asciiTheme="minorEastAsia" w:hAnsiTheme="minorEastAsia" w:eastAsiaTheme="minorEastAsia"/>
          <w:color w:val="auto"/>
          <w:sz w:val="24"/>
          <w:szCs w:val="24"/>
          <w:highlight w:val="none"/>
          <w:lang w:val="en-GB"/>
        </w:rPr>
        <w:t>本</w:t>
      </w:r>
      <w:r>
        <w:rPr>
          <w:rFonts w:hint="eastAsia" w:asciiTheme="minorEastAsia" w:hAnsiTheme="minorEastAsia" w:eastAsiaTheme="minorEastAsia"/>
          <w:color w:val="auto"/>
          <w:sz w:val="24"/>
          <w:szCs w:val="24"/>
          <w:highlight w:val="none"/>
        </w:rPr>
        <w:t>授权书</w:t>
      </w:r>
      <w:r>
        <w:rPr>
          <w:rFonts w:hint="eastAsia" w:asciiTheme="minorEastAsia" w:hAnsiTheme="minorEastAsia" w:eastAsiaTheme="minorEastAsia"/>
          <w:color w:val="auto"/>
          <w:sz w:val="24"/>
          <w:szCs w:val="24"/>
          <w:highlight w:val="none"/>
          <w:lang w:val="en-GB"/>
        </w:rPr>
        <w:t>有效期与本公司投标文件中标注的投标有效期相同。</w:t>
      </w:r>
    </w:p>
    <w:p w14:paraId="7084DACA">
      <w:pPr>
        <w:pStyle w:val="102"/>
        <w:spacing w:line="360" w:lineRule="auto"/>
        <w:rPr>
          <w:rFonts w:asciiTheme="minorEastAsia" w:hAnsiTheme="minorEastAsia" w:eastAsiaTheme="minorEastAsia"/>
          <w:bCs/>
          <w:color w:val="auto"/>
          <w:sz w:val="24"/>
          <w:szCs w:val="24"/>
          <w:highlight w:val="none"/>
        </w:rPr>
      </w:pPr>
    </w:p>
    <w:p w14:paraId="729B5199">
      <w:pPr>
        <w:pStyle w:val="102"/>
        <w:spacing w:line="360" w:lineRule="auto"/>
        <w:rPr>
          <w:rFonts w:asciiTheme="minorEastAsia" w:hAnsiTheme="minorEastAsia" w:eastAsiaTheme="minorEastAsia"/>
          <w:bCs/>
          <w:color w:val="auto"/>
          <w:sz w:val="24"/>
          <w:szCs w:val="24"/>
          <w:highlight w:val="none"/>
        </w:rPr>
      </w:pPr>
    </w:p>
    <w:p w14:paraId="79CE5464">
      <w:pPr>
        <w:pStyle w:val="102"/>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附：代理人性别：</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 xml:space="preserve">   年龄：</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 xml:space="preserve">   职务：</w:t>
      </w:r>
      <w:r>
        <w:rPr>
          <w:rFonts w:hint="eastAsia" w:asciiTheme="minorEastAsia" w:hAnsiTheme="minorEastAsia" w:eastAsiaTheme="minorEastAsia"/>
          <w:color w:val="auto"/>
          <w:sz w:val="24"/>
          <w:szCs w:val="24"/>
          <w:highlight w:val="none"/>
          <w:u w:val="single"/>
        </w:rPr>
        <w:t xml:space="preserve">               </w:t>
      </w:r>
    </w:p>
    <w:p w14:paraId="16DB6985">
      <w:pPr>
        <w:pStyle w:val="102"/>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　　身份证号码：</w:t>
      </w:r>
      <w:r>
        <w:rPr>
          <w:rFonts w:hint="eastAsia" w:asciiTheme="minorEastAsia" w:hAnsiTheme="minorEastAsia" w:eastAsiaTheme="minorEastAsia"/>
          <w:color w:val="auto"/>
          <w:sz w:val="24"/>
          <w:szCs w:val="24"/>
          <w:highlight w:val="none"/>
          <w:u w:val="single"/>
        </w:rPr>
        <w:t xml:space="preserve">                     </w:t>
      </w:r>
    </w:p>
    <w:p w14:paraId="327DE506">
      <w:pPr>
        <w:pStyle w:val="102"/>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　　（营业执照等）注册号码：</w:t>
      </w:r>
      <w:r>
        <w:rPr>
          <w:rFonts w:hint="eastAsia" w:asciiTheme="minorEastAsia" w:hAnsiTheme="minorEastAsia" w:eastAsiaTheme="minorEastAsia"/>
          <w:color w:val="auto"/>
          <w:sz w:val="24"/>
          <w:szCs w:val="24"/>
          <w:highlight w:val="none"/>
          <w:u w:val="single"/>
        </w:rPr>
        <w:t xml:space="preserve">                    </w:t>
      </w:r>
    </w:p>
    <w:p w14:paraId="5C6299FD">
      <w:pPr>
        <w:pStyle w:val="102"/>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　　 经营范围：</w:t>
      </w:r>
      <w:r>
        <w:rPr>
          <w:rFonts w:hint="eastAsia" w:asciiTheme="minorEastAsia" w:hAnsiTheme="minorEastAsia" w:eastAsiaTheme="minorEastAsia"/>
          <w:color w:val="auto"/>
          <w:sz w:val="24"/>
          <w:szCs w:val="24"/>
          <w:highlight w:val="none"/>
          <w:u w:val="single"/>
        </w:rPr>
        <w:t xml:space="preserve">                                      </w:t>
      </w:r>
    </w:p>
    <w:p w14:paraId="6A2030FC">
      <w:pPr>
        <w:pStyle w:val="102"/>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 xml:space="preserve">                  </w:t>
      </w:r>
    </w:p>
    <w:p w14:paraId="4FD030C7">
      <w:pPr>
        <w:pStyle w:val="23"/>
        <w:spacing w:line="360" w:lineRule="auto"/>
        <w:ind w:left="3400" w:leftChars="1619" w:firstLine="1800" w:firstLineChars="750"/>
        <w:rPr>
          <w:rFonts w:asciiTheme="minorEastAsia" w:hAnsiTheme="minorEastAsia" w:eastAsiaTheme="minorEastAsia"/>
          <w:color w:val="auto"/>
          <w:sz w:val="24"/>
          <w:szCs w:val="24"/>
          <w:highlight w:val="none"/>
        </w:rPr>
      </w:pPr>
    </w:p>
    <w:p w14:paraId="43FBCAEA">
      <w:pPr>
        <w:pStyle w:val="23"/>
        <w:spacing w:line="360" w:lineRule="auto"/>
        <w:ind w:left="3400" w:leftChars="1619" w:firstLine="1800" w:firstLineChars="7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授权单位（单位公章）：</w:t>
      </w:r>
    </w:p>
    <w:p w14:paraId="65E3DA8E">
      <w:pPr>
        <w:pStyle w:val="23"/>
        <w:wordWrap w:val="0"/>
        <w:spacing w:line="360" w:lineRule="auto"/>
        <w:ind w:left="3400" w:leftChars="1619"/>
        <w:jc w:val="right"/>
        <w:rPr>
          <w:rFonts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 xml:space="preserve">   年   月   日</w:t>
      </w:r>
    </w:p>
    <w:p w14:paraId="7FDE5701">
      <w:pPr>
        <w:pStyle w:val="102"/>
        <w:spacing w:line="360" w:lineRule="auto"/>
        <w:rPr>
          <w:rFonts w:asciiTheme="minorEastAsia" w:hAnsiTheme="minorEastAsia" w:eastAsiaTheme="minorEastAsia"/>
          <w:color w:val="auto"/>
          <w:sz w:val="24"/>
          <w:szCs w:val="24"/>
          <w:highlight w:val="none"/>
        </w:rPr>
      </w:pPr>
    </w:p>
    <w:p w14:paraId="695E48EE">
      <w:pPr>
        <w:pStyle w:val="102"/>
        <w:spacing w:line="360" w:lineRule="auto"/>
        <w:rPr>
          <w:rFonts w:asciiTheme="minorEastAsia" w:hAnsiTheme="minorEastAsia" w:eastAsiaTheme="minorEastAsia"/>
          <w:color w:val="auto"/>
          <w:sz w:val="24"/>
          <w:szCs w:val="24"/>
          <w:highlight w:val="none"/>
        </w:rPr>
      </w:pPr>
    </w:p>
    <w:p w14:paraId="7EC5BD11">
      <w:pPr>
        <w:pStyle w:val="102"/>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附：委托代理人身份证正反面复印件</w:t>
      </w:r>
    </w:p>
    <w:p w14:paraId="6F474089">
      <w:pPr>
        <w:pStyle w:val="102"/>
        <w:spacing w:line="360" w:lineRule="auto"/>
        <w:rPr>
          <w:rFonts w:asciiTheme="minorEastAsia" w:hAnsiTheme="minorEastAsia" w:eastAsiaTheme="minorEastAsia"/>
          <w:color w:val="auto"/>
          <w:sz w:val="24"/>
          <w:szCs w:val="24"/>
          <w:highlight w:val="none"/>
        </w:rPr>
      </w:pPr>
    </w:p>
    <w:p w14:paraId="6406555F">
      <w:pPr>
        <w:pStyle w:val="102"/>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w:t>
      </w:r>
    </w:p>
    <w:p w14:paraId="3A6B506D">
      <w:pPr>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br w:type="page"/>
      </w:r>
    </w:p>
    <w:p w14:paraId="0B487E6D">
      <w:pPr>
        <w:pStyle w:val="3"/>
        <w:rPr>
          <w:color w:val="auto"/>
          <w:highlight w:val="none"/>
        </w:rPr>
      </w:pPr>
    </w:p>
    <w:p w14:paraId="73C99365">
      <w:pPr>
        <w:rPr>
          <w:rFonts w:asciiTheme="minorEastAsia" w:hAnsiTheme="minorEastAsia" w:eastAsiaTheme="minorEastAsia"/>
          <w:b/>
          <w:color w:val="auto"/>
          <w:sz w:val="24"/>
          <w:szCs w:val="24"/>
          <w:highlight w:val="none"/>
        </w:rPr>
      </w:pPr>
    </w:p>
    <w:p w14:paraId="4FF19F61">
      <w:pPr>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附件9：</w:t>
      </w:r>
    </w:p>
    <w:p w14:paraId="2F351D3C">
      <w:pPr>
        <w:ind w:firstLine="562"/>
        <w:jc w:val="center"/>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rPr>
        <w:t>总公司投标授权书（分支机构适用）</w:t>
      </w:r>
    </w:p>
    <w:p w14:paraId="5C5B85E9">
      <w:pPr>
        <w:spacing w:line="460" w:lineRule="exact"/>
        <w:rPr>
          <w:rFonts w:asciiTheme="minorEastAsia" w:hAnsiTheme="minorEastAsia" w:eastAsiaTheme="minorEastAsia"/>
          <w:color w:val="auto"/>
          <w:sz w:val="28"/>
          <w:szCs w:val="28"/>
          <w:highlight w:val="none"/>
        </w:rPr>
      </w:pPr>
    </w:p>
    <w:p w14:paraId="140C6788">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lang w:eastAsia="zh-CN"/>
        </w:rPr>
        <w:t>广州市农科所科技发展有限公司</w:t>
      </w:r>
      <w:r>
        <w:rPr>
          <w:rFonts w:hint="eastAsia" w:asciiTheme="minorEastAsia" w:hAnsiTheme="minorEastAsia" w:eastAsiaTheme="minorEastAsia"/>
          <w:color w:val="auto"/>
          <w:sz w:val="24"/>
          <w:szCs w:val="24"/>
          <w:highlight w:val="none"/>
        </w:rPr>
        <w:t>/</w:t>
      </w:r>
      <w:r>
        <w:rPr>
          <w:rFonts w:hint="eastAsia" w:ascii="宋体" w:hAnsi="宋体" w:cs="宋体" w:eastAsiaTheme="minorEastAsia"/>
          <w:color w:val="auto"/>
          <w:sz w:val="24"/>
          <w:szCs w:val="24"/>
          <w:highlight w:val="none"/>
          <w:lang w:eastAsia="zh-CN"/>
        </w:rPr>
        <w:t>广州众源建设管理有限公司</w:t>
      </w:r>
      <w:r>
        <w:rPr>
          <w:rFonts w:hint="eastAsia" w:asciiTheme="minorEastAsia" w:hAnsiTheme="minorEastAsia" w:eastAsiaTheme="minorEastAsia"/>
          <w:color w:val="auto"/>
          <w:sz w:val="24"/>
          <w:szCs w:val="24"/>
          <w:highlight w:val="none"/>
        </w:rPr>
        <w:t>：</w:t>
      </w:r>
    </w:p>
    <w:p w14:paraId="0FC8A278">
      <w:pPr>
        <w:ind w:firstLine="480" w:firstLineChars="200"/>
        <w:rPr>
          <w:rFonts w:asciiTheme="minorEastAsia" w:hAnsiTheme="minorEastAsia" w:eastAsiaTheme="minorEastAsia"/>
          <w:color w:val="auto"/>
          <w:sz w:val="24"/>
          <w:szCs w:val="24"/>
          <w:highlight w:val="none"/>
        </w:rPr>
      </w:pPr>
    </w:p>
    <w:p w14:paraId="64E964D6">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我(法定代表人姓名）系（总所名称）的法定代表人，现授权</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（分所名称）为我方合法委托代理人参加“</w:t>
      </w:r>
      <w:r>
        <w:rPr>
          <w:rFonts w:hint="eastAsia" w:ascii="宋体" w:hAnsi="宋体" w:cs="宋体" w:eastAsiaTheme="minorEastAsia"/>
          <w:color w:val="auto"/>
          <w:sz w:val="24"/>
          <w:szCs w:val="24"/>
          <w:highlight w:val="none"/>
          <w:u w:val="single"/>
          <w:lang w:eastAsia="zh-CN"/>
        </w:rPr>
        <w:t>广州市农科院鲜蔬火锅餐厅VI品牌策划设计全案整装招标</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u w:val="single"/>
        </w:rPr>
        <w:t>项目编号：</w:t>
      </w:r>
      <w:r>
        <w:rPr>
          <w:rFonts w:hint="eastAsia" w:asciiTheme="minorEastAsia" w:hAnsiTheme="minorEastAsia" w:eastAsiaTheme="minorEastAsia"/>
          <w:color w:val="auto"/>
          <w:kern w:val="2"/>
          <w:sz w:val="24"/>
          <w:szCs w:val="24"/>
          <w:highlight w:val="none"/>
          <w:u w:val="single"/>
          <w:lang w:val="en-GB" w:eastAsia="zh-CN"/>
        </w:rPr>
        <w:t>ZYNK20250501</w:t>
      </w:r>
      <w:r>
        <w:rPr>
          <w:rFonts w:hint="eastAsia" w:asciiTheme="minorEastAsia" w:hAnsiTheme="minorEastAsia" w:eastAsiaTheme="minorEastAsia"/>
          <w:color w:val="auto"/>
          <w:sz w:val="24"/>
          <w:szCs w:val="24"/>
          <w:highlight w:val="none"/>
        </w:rPr>
        <w:t>)的投标活动。该分公司的授权代表在本投标活动过程中所签署的一切文件和处理与之有关的一切事务，均代表我方的行为，与本人的行为具有同等的法律效力。我方将承担授权代表行为的一切法律责任后果。</w:t>
      </w:r>
    </w:p>
    <w:p w14:paraId="4F489353">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本授权书于</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年</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月</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日签字生效，代理人无转委托权。</w:t>
      </w:r>
    </w:p>
    <w:p w14:paraId="46FB2B5B">
      <w:pPr>
        <w:spacing w:line="460" w:lineRule="exact"/>
        <w:rPr>
          <w:rFonts w:asciiTheme="minorEastAsia" w:hAnsiTheme="minorEastAsia" w:eastAsiaTheme="minorEastAsia"/>
          <w:color w:val="auto"/>
          <w:sz w:val="28"/>
          <w:szCs w:val="28"/>
          <w:highlight w:val="none"/>
        </w:rPr>
      </w:pPr>
    </w:p>
    <w:p w14:paraId="4446C503">
      <w:pPr>
        <w:spacing w:line="460" w:lineRule="exact"/>
        <w:rPr>
          <w:rFonts w:asciiTheme="minorEastAsia" w:hAnsiTheme="minorEastAsia" w:eastAsiaTheme="minorEastAsia"/>
          <w:color w:val="auto"/>
          <w:sz w:val="28"/>
          <w:szCs w:val="28"/>
          <w:highlight w:val="none"/>
        </w:rPr>
      </w:pPr>
    </w:p>
    <w:p w14:paraId="6A244D92">
      <w:pPr>
        <w:pStyle w:val="101"/>
        <w:spacing w:line="360" w:lineRule="auto"/>
        <w:ind w:left="4532"/>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 xml:space="preserve">             授权人：（总公司名称）（盖章）</w:t>
      </w:r>
    </w:p>
    <w:p w14:paraId="0DD116F4">
      <w:pPr>
        <w:pStyle w:val="101"/>
        <w:spacing w:line="360" w:lineRule="auto"/>
        <w:ind w:left="4532"/>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 xml:space="preserve">                 年    月    日</w:t>
      </w:r>
    </w:p>
    <w:p w14:paraId="2DE7495A">
      <w:pPr>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b/>
          <w:color w:val="auto"/>
          <w:sz w:val="24"/>
          <w:szCs w:val="24"/>
          <w:highlight w:val="none"/>
        </w:rPr>
        <w:br w:type="page"/>
      </w:r>
    </w:p>
    <w:p w14:paraId="0947667D">
      <w:pPr>
        <w:tabs>
          <w:tab w:val="left" w:pos="1050"/>
          <w:tab w:val="left" w:pos="1838"/>
        </w:tabs>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sz w:val="24"/>
          <w:szCs w:val="24"/>
          <w:highlight w:val="none"/>
        </w:rPr>
        <w:t>附件10</w:t>
      </w:r>
      <w:r>
        <w:rPr>
          <w:rFonts w:hint="eastAsia" w:asciiTheme="minorEastAsia" w:hAnsiTheme="minorEastAsia" w:eastAsiaTheme="minorEastAsia"/>
          <w:b/>
          <w:color w:val="auto"/>
          <w:sz w:val="24"/>
          <w:szCs w:val="24"/>
          <w:highlight w:val="none"/>
          <w:lang w:val="en-GB"/>
        </w:rPr>
        <w:t>：</w:t>
      </w:r>
    </w:p>
    <w:p w14:paraId="6D4CDBF2">
      <w:pPr>
        <w:jc w:val="center"/>
        <w:rPr>
          <w:rFonts w:asciiTheme="minorEastAsia" w:hAnsiTheme="minorEastAsia" w:eastAsiaTheme="minorEastAsia"/>
          <w:b/>
          <w:color w:val="auto"/>
          <w:sz w:val="28"/>
          <w:szCs w:val="28"/>
          <w:highlight w:val="none"/>
          <w:lang w:val="en-GB"/>
        </w:rPr>
      </w:pPr>
      <w:bookmarkStart w:id="357" w:name="_Toc453957441"/>
      <w:r>
        <w:rPr>
          <w:rFonts w:hint="eastAsia" w:asciiTheme="minorEastAsia" w:hAnsiTheme="minorEastAsia" w:eastAsiaTheme="minorEastAsia"/>
          <w:b/>
          <w:color w:val="auto"/>
          <w:sz w:val="28"/>
          <w:szCs w:val="28"/>
          <w:highlight w:val="none"/>
          <w:lang w:val="en-GB"/>
        </w:rPr>
        <w:t>招标代理服务费承诺书</w:t>
      </w:r>
      <w:bookmarkEnd w:id="357"/>
    </w:p>
    <w:p w14:paraId="45B3BC18">
      <w:pPr>
        <w:spacing w:line="360" w:lineRule="auto"/>
        <w:rPr>
          <w:rFonts w:asciiTheme="minorEastAsia" w:hAnsiTheme="minorEastAsia" w:eastAsiaTheme="minorEastAsia"/>
          <w:b/>
          <w:color w:val="auto"/>
          <w:sz w:val="24"/>
          <w:szCs w:val="24"/>
          <w:highlight w:val="none"/>
        </w:rPr>
      </w:pPr>
    </w:p>
    <w:p w14:paraId="12B8A693">
      <w:pPr>
        <w:spacing w:line="360" w:lineRule="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lang w:eastAsia="zh-CN"/>
        </w:rPr>
        <w:t>广州众源建设管理有限公司</w:t>
      </w:r>
      <w:r>
        <w:rPr>
          <w:rFonts w:hint="eastAsia" w:asciiTheme="minorEastAsia" w:hAnsiTheme="minorEastAsia" w:eastAsiaTheme="minorEastAsia"/>
          <w:b/>
          <w:color w:val="auto"/>
          <w:sz w:val="24"/>
          <w:szCs w:val="24"/>
          <w:highlight w:val="none"/>
        </w:rPr>
        <w:t>:</w:t>
      </w:r>
    </w:p>
    <w:p w14:paraId="75D14B38">
      <w:pPr>
        <w:spacing w:line="360" w:lineRule="auto"/>
        <w:ind w:firstLine="720" w:firstLineChars="300"/>
        <w:rPr>
          <w:rFonts w:ascii="宋体" w:hAnsi="宋体"/>
          <w:color w:val="auto"/>
          <w:sz w:val="24"/>
          <w:szCs w:val="24"/>
          <w:highlight w:val="none"/>
        </w:rPr>
      </w:pPr>
      <w:r>
        <w:rPr>
          <w:rFonts w:ascii="宋体" w:hAnsi="宋体"/>
          <w:color w:val="auto"/>
          <w:sz w:val="24"/>
          <w:szCs w:val="24"/>
          <w:highlight w:val="none"/>
        </w:rPr>
        <w:t>我方如被确定为</w:t>
      </w:r>
      <w:r>
        <w:rPr>
          <w:rFonts w:hint="eastAsia" w:ascii="宋体" w:hAnsi="宋体" w:cs="宋体"/>
          <w:color w:val="auto"/>
          <w:sz w:val="24"/>
          <w:szCs w:val="24"/>
          <w:highlight w:val="none"/>
          <w:u w:val="single"/>
          <w:lang w:eastAsia="zh-CN"/>
        </w:rPr>
        <w:t>广州市农科院鲜蔬火锅餐厅VI品牌策划设计全案整装招标</w:t>
      </w:r>
      <w:r>
        <w:rPr>
          <w:rFonts w:ascii="宋体" w:hAnsi="宋体"/>
          <w:color w:val="auto"/>
          <w:sz w:val="24"/>
          <w:szCs w:val="24"/>
          <w:highlight w:val="none"/>
          <w:u w:val="single"/>
        </w:rPr>
        <w:t>(</w:t>
      </w:r>
      <w:r>
        <w:rPr>
          <w:rFonts w:hint="eastAsia" w:asciiTheme="minorEastAsia" w:hAnsiTheme="minorEastAsia" w:eastAsiaTheme="minorEastAsia"/>
          <w:color w:val="auto"/>
          <w:sz w:val="24"/>
          <w:szCs w:val="24"/>
          <w:highlight w:val="none"/>
          <w:u w:val="single"/>
        </w:rPr>
        <w:t>项目编号：</w:t>
      </w:r>
      <w:r>
        <w:rPr>
          <w:rFonts w:hint="eastAsia" w:asciiTheme="minorEastAsia" w:hAnsiTheme="minorEastAsia" w:eastAsiaTheme="minorEastAsia"/>
          <w:color w:val="auto"/>
          <w:kern w:val="2"/>
          <w:sz w:val="24"/>
          <w:szCs w:val="24"/>
          <w:highlight w:val="none"/>
          <w:u w:val="single"/>
          <w:lang w:val="en-GB" w:eastAsia="zh-CN"/>
        </w:rPr>
        <w:t>ZYNK20250501</w:t>
      </w:r>
      <w:r>
        <w:rPr>
          <w:rFonts w:ascii="宋体" w:hAnsi="宋体"/>
          <w:color w:val="auto"/>
          <w:sz w:val="24"/>
          <w:szCs w:val="24"/>
          <w:highlight w:val="none"/>
        </w:rPr>
        <w:t>)的中标人，保证按照采购文件规定缴纳招标代理服务费后自行下载《中标通知书》。</w:t>
      </w:r>
    </w:p>
    <w:p w14:paraId="73C828E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如我方违反上款承诺，我方愿承担全部因此产生的法律责任。</w:t>
      </w:r>
    </w:p>
    <w:p w14:paraId="66C999C7">
      <w:pPr>
        <w:spacing w:line="360" w:lineRule="auto"/>
        <w:rPr>
          <w:rFonts w:ascii="宋体" w:hAnsi="宋体"/>
          <w:color w:val="auto"/>
          <w:sz w:val="24"/>
          <w:szCs w:val="24"/>
          <w:highlight w:val="none"/>
        </w:rPr>
      </w:pPr>
    </w:p>
    <w:p w14:paraId="200B9864">
      <w:pPr>
        <w:spacing w:line="360" w:lineRule="auto"/>
        <w:rPr>
          <w:rFonts w:ascii="宋体" w:hAnsi="宋体"/>
          <w:color w:val="auto"/>
          <w:sz w:val="24"/>
          <w:szCs w:val="24"/>
          <w:highlight w:val="none"/>
        </w:rPr>
      </w:pPr>
      <w:r>
        <w:rPr>
          <w:rFonts w:ascii="宋体" w:hAnsi="宋体"/>
          <w:color w:val="auto"/>
          <w:sz w:val="24"/>
          <w:szCs w:val="24"/>
          <w:highlight w:val="none"/>
        </w:rPr>
        <w:t>特此承诺!</w:t>
      </w:r>
    </w:p>
    <w:p w14:paraId="4DCAD44C">
      <w:pPr>
        <w:spacing w:line="520" w:lineRule="exact"/>
        <w:ind w:left="315"/>
        <w:rPr>
          <w:rFonts w:asciiTheme="minorEastAsia" w:hAnsiTheme="minorEastAsia" w:eastAsiaTheme="minorEastAsia"/>
          <w:color w:val="auto"/>
          <w:sz w:val="24"/>
          <w:szCs w:val="24"/>
          <w:highlight w:val="none"/>
        </w:rPr>
      </w:pPr>
    </w:p>
    <w:p w14:paraId="3A8C00E2">
      <w:pPr>
        <w:spacing w:line="520" w:lineRule="exact"/>
        <w:ind w:left="31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投标人名称(盖公章):</w:t>
      </w:r>
    </w:p>
    <w:p w14:paraId="3DD18C39">
      <w:pPr>
        <w:spacing w:line="520" w:lineRule="exact"/>
        <w:ind w:left="31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投标人地址:</w:t>
      </w:r>
    </w:p>
    <w:p w14:paraId="4A2C2823">
      <w:pPr>
        <w:spacing w:line="520" w:lineRule="exact"/>
        <w:ind w:left="31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电话:</w:t>
      </w:r>
    </w:p>
    <w:p w14:paraId="5C9B664D">
      <w:pPr>
        <w:spacing w:line="520" w:lineRule="exact"/>
        <w:ind w:left="31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传真:</w:t>
      </w:r>
    </w:p>
    <w:p w14:paraId="2E273613">
      <w:pPr>
        <w:spacing w:line="520" w:lineRule="exact"/>
        <w:ind w:left="31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签署日期:</w:t>
      </w:r>
    </w:p>
    <w:p w14:paraId="16DF2FFD">
      <w:pPr>
        <w:rPr>
          <w:rFonts w:cs="仿宋_GB2312" w:asciiTheme="minorEastAsia" w:hAnsiTheme="minorEastAsia" w:eastAsiaTheme="minorEastAsia"/>
          <w:color w:val="auto"/>
          <w:sz w:val="24"/>
          <w:szCs w:val="24"/>
          <w:highlight w:val="none"/>
        </w:rPr>
      </w:pPr>
    </w:p>
    <w:p w14:paraId="4B8548BA">
      <w:pPr>
        <w:rPr>
          <w:color w:val="auto"/>
          <w:highlight w:val="none"/>
        </w:rPr>
      </w:pPr>
    </w:p>
    <w:p w14:paraId="2D0AEC9D">
      <w:pPr>
        <w:rPr>
          <w:color w:val="auto"/>
          <w:highlight w:val="none"/>
        </w:rPr>
      </w:pPr>
    </w:p>
    <w:p w14:paraId="2CAF41B8">
      <w:pPr>
        <w:rPr>
          <w:color w:val="auto"/>
          <w:highlight w:val="none"/>
        </w:rPr>
      </w:pPr>
    </w:p>
    <w:p w14:paraId="3999D6E0">
      <w:pPr>
        <w:rPr>
          <w:color w:val="auto"/>
          <w:highlight w:val="none"/>
        </w:rPr>
      </w:pPr>
    </w:p>
    <w:p w14:paraId="5C7659E2">
      <w:pPr>
        <w:rPr>
          <w:color w:val="auto"/>
          <w:highlight w:val="none"/>
        </w:rPr>
      </w:pPr>
    </w:p>
    <w:p w14:paraId="187970BE">
      <w:pPr>
        <w:rPr>
          <w:color w:val="auto"/>
          <w:highlight w:val="none"/>
        </w:rPr>
      </w:pPr>
    </w:p>
    <w:p w14:paraId="03489E5F">
      <w:pPr>
        <w:rPr>
          <w:color w:val="auto"/>
          <w:highlight w:val="none"/>
        </w:rPr>
      </w:pPr>
    </w:p>
    <w:p w14:paraId="3F3E9330">
      <w:pPr>
        <w:rPr>
          <w:color w:val="auto"/>
          <w:highlight w:val="none"/>
        </w:rPr>
      </w:pPr>
    </w:p>
    <w:p w14:paraId="701A27C2">
      <w:pPr>
        <w:rPr>
          <w:rFonts w:asciiTheme="minorEastAsia" w:hAnsiTheme="minorEastAsia" w:eastAsiaTheme="minorEastAsia"/>
          <w:b/>
          <w:color w:val="auto"/>
          <w:sz w:val="24"/>
          <w:szCs w:val="24"/>
          <w:highlight w:val="none"/>
        </w:rPr>
      </w:pPr>
      <w:r>
        <w:rPr>
          <w:rFonts w:asciiTheme="minorEastAsia" w:hAnsiTheme="minorEastAsia" w:eastAsiaTheme="minorEastAsia"/>
          <w:b/>
          <w:color w:val="auto"/>
          <w:sz w:val="24"/>
          <w:szCs w:val="24"/>
          <w:highlight w:val="none"/>
        </w:rPr>
        <w:br w:type="page"/>
      </w:r>
    </w:p>
    <w:p w14:paraId="29584C16">
      <w:pPr>
        <w:tabs>
          <w:tab w:val="left" w:pos="1050"/>
          <w:tab w:val="left" w:pos="1838"/>
        </w:tabs>
        <w:spacing w:line="360" w:lineRule="auto"/>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b/>
          <w:color w:val="auto"/>
          <w:sz w:val="24"/>
          <w:szCs w:val="24"/>
          <w:highlight w:val="none"/>
        </w:rPr>
        <w:t>附件11</w:t>
      </w:r>
      <w:r>
        <w:rPr>
          <w:rFonts w:hint="eastAsia" w:asciiTheme="minorEastAsia" w:hAnsiTheme="minorEastAsia" w:eastAsiaTheme="minorEastAsia"/>
          <w:b/>
          <w:color w:val="auto"/>
          <w:sz w:val="24"/>
          <w:szCs w:val="24"/>
          <w:highlight w:val="none"/>
          <w:lang w:val="en-GB"/>
        </w:rPr>
        <w:t>：</w:t>
      </w:r>
    </w:p>
    <w:p w14:paraId="3F881235">
      <w:pPr>
        <w:tabs>
          <w:tab w:val="left" w:pos="1050"/>
          <w:tab w:val="left" w:pos="1838"/>
        </w:tabs>
        <w:spacing w:line="360" w:lineRule="auto"/>
        <w:rPr>
          <w:rFonts w:ascii="宋体" w:hAnsi="宋体"/>
          <w:color w:val="auto"/>
          <w:sz w:val="32"/>
          <w:szCs w:val="32"/>
          <w:highlight w:val="none"/>
        </w:rPr>
      </w:pPr>
      <w:r>
        <w:rPr>
          <w:rFonts w:hint="eastAsia" w:asciiTheme="minorEastAsia" w:hAnsiTheme="minorEastAsia" w:eastAsiaTheme="minorEastAsia"/>
          <w:b/>
          <w:color w:val="auto"/>
          <w:sz w:val="24"/>
          <w:szCs w:val="24"/>
          <w:highlight w:val="none"/>
          <w:lang w:val="en-GB"/>
        </w:rPr>
        <w:t>（以下格式由投标人根据投标保证金的交纳方式自行选择版本提交声明函：采用转账方式交纳的，选择格式1提交声明函；采用投标保函、投标保证保险形式交纳的，选择格式2提交声明函。）</w:t>
      </w:r>
    </w:p>
    <w:p w14:paraId="7DCCD1DC">
      <w:pPr>
        <w:pStyle w:val="3"/>
        <w:rPr>
          <w:color w:val="auto"/>
          <w:sz w:val="24"/>
          <w:szCs w:val="24"/>
          <w:highlight w:val="none"/>
        </w:rPr>
      </w:pPr>
    </w:p>
    <w:p w14:paraId="61A80724">
      <w:pPr>
        <w:pStyle w:val="3"/>
        <w:rPr>
          <w:color w:val="auto"/>
          <w:sz w:val="24"/>
          <w:szCs w:val="24"/>
          <w:highlight w:val="none"/>
        </w:rPr>
      </w:pPr>
      <w:r>
        <w:rPr>
          <w:color w:val="auto"/>
          <w:sz w:val="24"/>
          <w:szCs w:val="24"/>
          <w:highlight w:val="none"/>
        </w:rPr>
        <w:t>格式</w:t>
      </w:r>
      <w:r>
        <w:rPr>
          <w:rFonts w:hint="eastAsia"/>
          <w:color w:val="auto"/>
          <w:sz w:val="24"/>
          <w:szCs w:val="24"/>
          <w:highlight w:val="none"/>
        </w:rPr>
        <w:t>1：</w:t>
      </w:r>
    </w:p>
    <w:p w14:paraId="28B97D40">
      <w:pPr>
        <w:spacing w:line="360" w:lineRule="auto"/>
        <w:jc w:val="center"/>
        <w:rPr>
          <w:rFonts w:ascii="宋体" w:hAnsi="宋体" w:cs="宋体"/>
          <w:b/>
          <w:color w:val="auto"/>
          <w:sz w:val="28"/>
          <w:szCs w:val="28"/>
          <w:highlight w:val="none"/>
          <w:lang w:val="en-GB"/>
        </w:rPr>
      </w:pPr>
      <w:r>
        <w:rPr>
          <w:rFonts w:hint="eastAsia" w:ascii="宋体" w:hAnsi="宋体" w:cs="宋体"/>
          <w:b/>
          <w:color w:val="auto"/>
          <w:sz w:val="28"/>
          <w:szCs w:val="28"/>
          <w:highlight w:val="none"/>
          <w:lang w:val="en-GB"/>
        </w:rPr>
        <w:t>投标保证金交纳声明函</w:t>
      </w:r>
    </w:p>
    <w:p w14:paraId="373F46EA">
      <w:pPr>
        <w:pStyle w:val="3"/>
        <w:rPr>
          <w:color w:val="auto"/>
          <w:sz w:val="24"/>
          <w:szCs w:val="24"/>
          <w:highlight w:val="none"/>
        </w:rPr>
      </w:pPr>
      <w:r>
        <w:rPr>
          <w:rFonts w:hint="eastAsia" w:asciiTheme="minorEastAsia" w:hAnsiTheme="minorEastAsia" w:eastAsiaTheme="minorEastAsia"/>
          <w:color w:val="auto"/>
          <w:kern w:val="2"/>
          <w:sz w:val="24"/>
          <w:szCs w:val="24"/>
          <w:highlight w:val="none"/>
          <w:lang w:eastAsia="zh-CN"/>
        </w:rPr>
        <w:t>广州市农科所科技发展有限公司</w:t>
      </w:r>
      <w:r>
        <w:rPr>
          <w:rFonts w:hint="eastAsia" w:asciiTheme="minorEastAsia" w:hAnsiTheme="minorEastAsia" w:eastAsiaTheme="minorEastAsia"/>
          <w:color w:val="auto"/>
          <w:kern w:val="2"/>
          <w:sz w:val="24"/>
          <w:szCs w:val="24"/>
          <w:highlight w:val="none"/>
        </w:rPr>
        <w:t>/</w:t>
      </w:r>
      <w:r>
        <w:rPr>
          <w:rFonts w:hint="eastAsia" w:asciiTheme="minorEastAsia" w:hAnsiTheme="minorEastAsia" w:eastAsiaTheme="minorEastAsia"/>
          <w:color w:val="auto"/>
          <w:kern w:val="2"/>
          <w:sz w:val="24"/>
          <w:szCs w:val="24"/>
          <w:highlight w:val="none"/>
          <w:lang w:eastAsia="zh-CN"/>
        </w:rPr>
        <w:t>广州众源建设管理有限公司</w:t>
      </w:r>
      <w:r>
        <w:rPr>
          <w:rFonts w:hint="eastAsia"/>
          <w:color w:val="auto"/>
          <w:sz w:val="24"/>
          <w:szCs w:val="24"/>
          <w:highlight w:val="none"/>
        </w:rPr>
        <w:t>：</w:t>
      </w:r>
    </w:p>
    <w:p w14:paraId="64F75B7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我方为</w:t>
      </w:r>
      <w:r>
        <w:rPr>
          <w:rFonts w:hint="eastAsia" w:ascii="宋体" w:hAnsi="宋体" w:cs="宋体"/>
          <w:color w:val="auto"/>
          <w:sz w:val="24"/>
          <w:szCs w:val="24"/>
          <w:highlight w:val="none"/>
          <w:u w:val="single"/>
          <w:lang w:eastAsia="zh-CN"/>
        </w:rPr>
        <w:t>广州市农科院鲜蔬火锅餐厅VI品牌策划设计全案整装招标</w:t>
      </w:r>
      <w:r>
        <w:rPr>
          <w:rFonts w:ascii="宋体" w:hAnsi="宋体"/>
          <w:color w:val="auto"/>
          <w:sz w:val="24"/>
          <w:szCs w:val="24"/>
          <w:highlight w:val="none"/>
          <w:u w:val="single"/>
        </w:rPr>
        <w:t>(</w:t>
      </w:r>
      <w:r>
        <w:rPr>
          <w:rFonts w:hint="eastAsia" w:asciiTheme="minorEastAsia" w:hAnsiTheme="minorEastAsia" w:eastAsiaTheme="minorEastAsia"/>
          <w:color w:val="auto"/>
          <w:sz w:val="24"/>
          <w:szCs w:val="24"/>
          <w:highlight w:val="none"/>
          <w:u w:val="single"/>
        </w:rPr>
        <w:t>项目编号：</w:t>
      </w:r>
      <w:r>
        <w:rPr>
          <w:rFonts w:hint="eastAsia" w:asciiTheme="minorEastAsia" w:hAnsiTheme="minorEastAsia" w:eastAsiaTheme="minorEastAsia"/>
          <w:color w:val="auto"/>
          <w:kern w:val="2"/>
          <w:sz w:val="24"/>
          <w:szCs w:val="24"/>
          <w:highlight w:val="none"/>
          <w:u w:val="single"/>
          <w:lang w:val="en-GB" w:eastAsia="zh-CN"/>
        </w:rPr>
        <w:t>ZYNK20250501</w:t>
      </w:r>
      <w:r>
        <w:rPr>
          <w:rFonts w:ascii="宋体" w:hAnsi="宋体"/>
          <w:color w:val="auto"/>
          <w:sz w:val="24"/>
          <w:szCs w:val="24"/>
          <w:highlight w:val="none"/>
        </w:rPr>
        <w:t>)</w:t>
      </w:r>
      <w:r>
        <w:rPr>
          <w:rFonts w:hint="eastAsia" w:ascii="宋体" w:hAnsi="宋体" w:cs="宋体"/>
          <w:color w:val="auto"/>
          <w:sz w:val="24"/>
          <w:szCs w:val="24"/>
          <w:highlight w:val="none"/>
        </w:rPr>
        <w:t>所提交投标保证金￥</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元已于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日提交。附件为我方交纳投标保证金的收据复印件或缴款凭证复印件。</w:t>
      </w:r>
    </w:p>
    <w:p w14:paraId="451BCB94">
      <w:pPr>
        <w:pStyle w:val="3"/>
        <w:rPr>
          <w:color w:val="auto"/>
          <w:highlight w:val="none"/>
        </w:rPr>
      </w:pPr>
    </w:p>
    <w:p w14:paraId="6CBDA31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投标人名称（单位公章）：</w:t>
      </w:r>
    </w:p>
    <w:p w14:paraId="58E2082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地址：</w:t>
      </w:r>
    </w:p>
    <w:p w14:paraId="3EFC999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投标联系人：</w:t>
      </w:r>
    </w:p>
    <w:p w14:paraId="12E4D09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电话：</w:t>
      </w:r>
    </w:p>
    <w:p w14:paraId="755EBAF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日期：</w:t>
      </w:r>
    </w:p>
    <w:p w14:paraId="6D3D9A88">
      <w:pPr>
        <w:pStyle w:val="3"/>
        <w:rPr>
          <w:rFonts w:ascii="宋体" w:hAnsi="宋体" w:cs="宋体"/>
          <w:color w:val="auto"/>
          <w:sz w:val="24"/>
          <w:szCs w:val="24"/>
          <w:highlight w:val="none"/>
        </w:rPr>
      </w:pPr>
    </w:p>
    <w:p w14:paraId="083EBBC9">
      <w:pPr>
        <w:pStyle w:val="3"/>
        <w:rPr>
          <w:rFonts w:ascii="宋体" w:hAnsi="宋体" w:cs="宋体"/>
          <w:color w:val="auto"/>
          <w:sz w:val="24"/>
          <w:szCs w:val="24"/>
          <w:highlight w:val="none"/>
        </w:rPr>
      </w:pPr>
      <w:r>
        <w:rPr>
          <w:rFonts w:hint="eastAsia" w:ascii="宋体" w:hAnsi="宋体" w:cs="宋体"/>
          <w:color w:val="auto"/>
          <w:sz w:val="24"/>
          <w:szCs w:val="24"/>
          <w:highlight w:val="none"/>
        </w:rPr>
        <w:t>格式2：</w:t>
      </w:r>
      <w:r>
        <w:rPr>
          <w:rFonts w:ascii="宋体" w:hAnsi="宋体" w:cs="宋体"/>
          <w:color w:val="auto"/>
          <w:sz w:val="24"/>
          <w:szCs w:val="24"/>
          <w:highlight w:val="none"/>
        </w:rPr>
        <w:t xml:space="preserve"> </w:t>
      </w:r>
    </w:p>
    <w:p w14:paraId="2157B454">
      <w:pPr>
        <w:pStyle w:val="3"/>
        <w:jc w:val="center"/>
        <w:rPr>
          <w:rFonts w:ascii="宋体" w:hAnsi="宋体" w:cs="宋体"/>
          <w:color w:val="auto"/>
          <w:sz w:val="24"/>
          <w:szCs w:val="24"/>
          <w:highlight w:val="none"/>
        </w:rPr>
      </w:pPr>
      <w:r>
        <w:rPr>
          <w:rFonts w:hint="eastAsia" w:ascii="宋体" w:hAnsi="宋体" w:cs="宋体"/>
          <w:b/>
          <w:color w:val="auto"/>
          <w:sz w:val="28"/>
          <w:szCs w:val="28"/>
          <w:highlight w:val="none"/>
          <w:lang w:val="en-GB"/>
        </w:rPr>
        <w:t>投标保函（或投标保证保险）交纳声明函</w:t>
      </w:r>
    </w:p>
    <w:p w14:paraId="69C6592D">
      <w:pPr>
        <w:pStyle w:val="3"/>
        <w:rPr>
          <w:color w:val="auto"/>
          <w:sz w:val="24"/>
          <w:szCs w:val="24"/>
          <w:highlight w:val="none"/>
        </w:rPr>
      </w:pPr>
      <w:r>
        <w:rPr>
          <w:rFonts w:hint="eastAsia" w:asciiTheme="minorEastAsia" w:hAnsiTheme="minorEastAsia" w:eastAsiaTheme="minorEastAsia"/>
          <w:color w:val="auto"/>
          <w:kern w:val="2"/>
          <w:sz w:val="24"/>
          <w:szCs w:val="24"/>
          <w:highlight w:val="none"/>
          <w:lang w:eastAsia="zh-CN"/>
        </w:rPr>
        <w:t>广州市农科所科技发展有限公司</w:t>
      </w:r>
      <w:r>
        <w:rPr>
          <w:rFonts w:hint="eastAsia" w:asciiTheme="minorEastAsia" w:hAnsiTheme="minorEastAsia" w:eastAsiaTheme="minorEastAsia"/>
          <w:color w:val="auto"/>
          <w:kern w:val="2"/>
          <w:sz w:val="24"/>
          <w:szCs w:val="24"/>
          <w:highlight w:val="none"/>
        </w:rPr>
        <w:t>/</w:t>
      </w:r>
      <w:r>
        <w:rPr>
          <w:rFonts w:hint="eastAsia" w:asciiTheme="minorEastAsia" w:hAnsiTheme="minorEastAsia" w:eastAsiaTheme="minorEastAsia"/>
          <w:color w:val="auto"/>
          <w:kern w:val="2"/>
          <w:sz w:val="24"/>
          <w:szCs w:val="24"/>
          <w:highlight w:val="none"/>
          <w:lang w:eastAsia="zh-CN"/>
        </w:rPr>
        <w:t>广州众源建设管理有限公司</w:t>
      </w:r>
      <w:r>
        <w:rPr>
          <w:rFonts w:hint="eastAsia"/>
          <w:color w:val="auto"/>
          <w:sz w:val="24"/>
          <w:szCs w:val="24"/>
          <w:highlight w:val="none"/>
        </w:rPr>
        <w:t>：</w:t>
      </w:r>
    </w:p>
    <w:p w14:paraId="2278F8C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我方已于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日为</w:t>
      </w:r>
      <w:r>
        <w:rPr>
          <w:rFonts w:hint="eastAsia" w:ascii="宋体" w:hAnsi="宋体" w:cs="宋体"/>
          <w:color w:val="auto"/>
          <w:sz w:val="24"/>
          <w:szCs w:val="24"/>
          <w:highlight w:val="none"/>
          <w:lang w:eastAsia="zh-CN"/>
        </w:rPr>
        <w:t>广州市农科院鲜蔬火锅餐厅VI品牌策划设计全案整装招标</w:t>
      </w:r>
      <w:r>
        <w:rPr>
          <w:rFonts w:hint="eastAsia" w:asciiTheme="minorEastAsia" w:hAnsiTheme="minorEastAsia" w:eastAsiaTheme="minorEastAsia"/>
          <w:bCs/>
          <w:color w:val="auto"/>
          <w:sz w:val="24"/>
          <w:szCs w:val="24"/>
          <w:highlight w:val="none"/>
          <w:u w:val="single"/>
        </w:rPr>
        <w:t>（前锋系统-前锋西）</w:t>
      </w:r>
      <w:r>
        <w:rPr>
          <w:rFonts w:ascii="宋体" w:hAnsi="宋体"/>
          <w:color w:val="auto"/>
          <w:sz w:val="24"/>
          <w:szCs w:val="24"/>
          <w:highlight w:val="none"/>
          <w:u w:val="single"/>
        </w:rPr>
        <w:t>(</w:t>
      </w:r>
      <w:r>
        <w:rPr>
          <w:rFonts w:hint="eastAsia" w:asciiTheme="minorEastAsia" w:hAnsiTheme="minorEastAsia" w:eastAsiaTheme="minorEastAsia"/>
          <w:color w:val="auto"/>
          <w:sz w:val="24"/>
          <w:szCs w:val="24"/>
          <w:highlight w:val="none"/>
          <w:u w:val="single"/>
        </w:rPr>
        <w:t>项目编号：</w:t>
      </w:r>
      <w:r>
        <w:rPr>
          <w:rFonts w:hint="eastAsia" w:asciiTheme="minorEastAsia" w:hAnsiTheme="minorEastAsia" w:eastAsiaTheme="minorEastAsia"/>
          <w:color w:val="auto"/>
          <w:kern w:val="2"/>
          <w:sz w:val="24"/>
          <w:szCs w:val="24"/>
          <w:highlight w:val="none"/>
          <w:u w:val="single"/>
          <w:lang w:val="en-GB" w:eastAsia="zh-CN"/>
        </w:rPr>
        <w:t>ZYNK20250501</w:t>
      </w:r>
      <w:r>
        <w:rPr>
          <w:rFonts w:ascii="宋体" w:hAnsi="宋体"/>
          <w:color w:val="auto"/>
          <w:sz w:val="24"/>
          <w:szCs w:val="24"/>
          <w:highlight w:val="none"/>
        </w:rPr>
        <w:t>)</w:t>
      </w:r>
      <w:r>
        <w:rPr>
          <w:rFonts w:hint="eastAsia" w:ascii="宋体" w:hAnsi="宋体" w:cs="宋体"/>
          <w:color w:val="auto"/>
          <w:sz w:val="24"/>
          <w:szCs w:val="24"/>
          <w:highlight w:val="none"/>
        </w:rPr>
        <w:t>开具</w:t>
      </w:r>
      <w:r>
        <w:rPr>
          <w:rFonts w:hint="eastAsia" w:ascii="宋体" w:hAnsi="宋体" w:cs="宋体"/>
          <w:color w:val="auto"/>
          <w:sz w:val="24"/>
          <w:szCs w:val="24"/>
          <w:highlight w:val="none"/>
          <w:u w:val="single"/>
        </w:rPr>
        <w:t>投标保函（或投标保证保险）</w:t>
      </w:r>
      <w:r>
        <w:rPr>
          <w:rFonts w:hint="eastAsia" w:ascii="宋体" w:hAnsi="宋体" w:cs="宋体"/>
          <w:color w:val="auto"/>
          <w:sz w:val="24"/>
          <w:szCs w:val="24"/>
          <w:highlight w:val="none"/>
        </w:rPr>
        <w:t>。附件为我方</w:t>
      </w:r>
      <w:r>
        <w:rPr>
          <w:rFonts w:hint="eastAsia" w:ascii="宋体" w:hAnsi="宋体" w:cs="宋体"/>
          <w:color w:val="auto"/>
          <w:sz w:val="24"/>
          <w:szCs w:val="24"/>
          <w:highlight w:val="none"/>
          <w:u w:val="single"/>
        </w:rPr>
        <w:t>投标保函（或投标保证保险）</w:t>
      </w:r>
      <w:r>
        <w:rPr>
          <w:rFonts w:hint="eastAsia" w:ascii="宋体" w:hAnsi="宋体" w:cs="宋体"/>
          <w:color w:val="auto"/>
          <w:sz w:val="24"/>
          <w:szCs w:val="24"/>
          <w:highlight w:val="none"/>
        </w:rPr>
        <w:t>的复印件。</w:t>
      </w:r>
    </w:p>
    <w:p w14:paraId="516E2196">
      <w:pPr>
        <w:pStyle w:val="3"/>
        <w:rPr>
          <w:color w:val="auto"/>
          <w:highlight w:val="none"/>
        </w:rPr>
      </w:pPr>
    </w:p>
    <w:p w14:paraId="586AC5E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投标人名称（单位公章）：</w:t>
      </w:r>
    </w:p>
    <w:p w14:paraId="08818F2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地址：</w:t>
      </w:r>
    </w:p>
    <w:p w14:paraId="1F4AF85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投标联系人：</w:t>
      </w:r>
    </w:p>
    <w:p w14:paraId="05CB3E3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电话：</w:t>
      </w:r>
    </w:p>
    <w:p w14:paraId="19019BA0">
      <w:pPr>
        <w:rPr>
          <w:rFonts w:ascii="宋体" w:hAnsi="宋体" w:cs="宋体"/>
          <w:color w:val="auto"/>
          <w:sz w:val="24"/>
          <w:szCs w:val="24"/>
          <w:highlight w:val="none"/>
        </w:rPr>
      </w:pPr>
      <w:r>
        <w:rPr>
          <w:rFonts w:hint="eastAsia" w:ascii="宋体" w:hAnsi="宋体" w:cs="宋体"/>
          <w:color w:val="auto"/>
          <w:sz w:val="24"/>
          <w:szCs w:val="24"/>
          <w:highlight w:val="none"/>
        </w:rPr>
        <w:t xml:space="preserve">                              日期：</w:t>
      </w:r>
    </w:p>
    <w:p w14:paraId="5195908E">
      <w:pPr>
        <w:rPr>
          <w:rFonts w:asciiTheme="minorEastAsia" w:hAnsiTheme="minorEastAsia" w:eastAsiaTheme="minorEastAsia"/>
          <w:b/>
          <w:color w:val="auto"/>
          <w:sz w:val="24"/>
          <w:szCs w:val="24"/>
          <w:highlight w:val="none"/>
        </w:rPr>
      </w:pPr>
    </w:p>
    <w:p w14:paraId="0BE1F65F">
      <w:pPr>
        <w:tabs>
          <w:tab w:val="left" w:pos="1050"/>
          <w:tab w:val="left" w:pos="1838"/>
        </w:tabs>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sz w:val="24"/>
          <w:szCs w:val="24"/>
          <w:highlight w:val="none"/>
        </w:rPr>
        <w:t>附件12</w:t>
      </w:r>
      <w:r>
        <w:rPr>
          <w:rFonts w:hint="eastAsia" w:asciiTheme="minorEastAsia" w:hAnsiTheme="minorEastAsia" w:eastAsiaTheme="minorEastAsia"/>
          <w:b/>
          <w:color w:val="auto"/>
          <w:sz w:val="24"/>
          <w:szCs w:val="24"/>
          <w:highlight w:val="none"/>
          <w:lang w:val="en-GB"/>
        </w:rPr>
        <w:t>：</w:t>
      </w:r>
    </w:p>
    <w:p w14:paraId="20F49451">
      <w:pPr>
        <w:spacing w:line="360" w:lineRule="auto"/>
        <w:ind w:firstLine="562"/>
        <w:jc w:val="center"/>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rPr>
        <w:t>实质性响应条款一览表</w:t>
      </w:r>
    </w:p>
    <w:p w14:paraId="2297185B">
      <w:pPr>
        <w:spacing w:line="360" w:lineRule="auto"/>
        <w:ind w:firstLine="240" w:firstLineChars="100"/>
        <w:rPr>
          <w:rFonts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kern w:val="2"/>
          <w:sz w:val="24"/>
          <w:szCs w:val="24"/>
          <w:highlight w:val="none"/>
        </w:rPr>
        <w:t>项目名称：</w:t>
      </w:r>
      <w:r>
        <w:rPr>
          <w:rFonts w:hint="eastAsia" w:ascii="宋体" w:hAnsi="宋体" w:cs="宋体" w:eastAsiaTheme="minorEastAsia"/>
          <w:color w:val="auto"/>
          <w:sz w:val="24"/>
          <w:szCs w:val="24"/>
          <w:highlight w:val="none"/>
          <w:lang w:eastAsia="zh-CN"/>
        </w:rPr>
        <w:t>广州市农科院鲜蔬火锅餐厅VI品牌策划设计全案整装招标</w:t>
      </w:r>
      <w:r>
        <w:rPr>
          <w:rFonts w:hint="eastAsia" w:asciiTheme="minorEastAsia" w:hAnsiTheme="minorEastAsia" w:eastAsiaTheme="minorEastAsia"/>
          <w:bCs/>
          <w:color w:val="auto"/>
          <w:sz w:val="24"/>
          <w:szCs w:val="24"/>
          <w:highlight w:val="none"/>
        </w:rPr>
        <w:t>（前锋系统-前锋西）</w:t>
      </w:r>
      <w:r>
        <w:rPr>
          <w:rFonts w:hint="eastAsia" w:asciiTheme="minorEastAsia" w:hAnsiTheme="minorEastAsia" w:eastAsiaTheme="minorEastAsia"/>
          <w:bCs/>
          <w:color w:val="auto"/>
          <w:sz w:val="24"/>
          <w:szCs w:val="24"/>
          <w:highlight w:val="none"/>
          <w:u w:val="single"/>
        </w:rPr>
        <w:t xml:space="preserve">            </w:t>
      </w:r>
    </w:p>
    <w:p w14:paraId="749D2BB0">
      <w:pPr>
        <w:spacing w:line="360" w:lineRule="auto"/>
        <w:ind w:firstLine="240" w:firstLineChars="100"/>
        <w:rPr>
          <w:rFonts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kern w:val="2"/>
          <w:sz w:val="24"/>
          <w:szCs w:val="24"/>
          <w:highlight w:val="none"/>
        </w:rPr>
        <w:t>项目编号：</w:t>
      </w:r>
      <w:r>
        <w:rPr>
          <w:rFonts w:hint="eastAsia" w:asciiTheme="minorEastAsia" w:hAnsiTheme="minorEastAsia" w:eastAsiaTheme="minorEastAsia"/>
          <w:color w:val="auto"/>
          <w:kern w:val="2"/>
          <w:sz w:val="24"/>
          <w:szCs w:val="24"/>
          <w:highlight w:val="none"/>
          <w:lang w:eastAsia="zh-CN"/>
        </w:rPr>
        <w:t>ZYNK20250501</w:t>
      </w:r>
      <w:r>
        <w:rPr>
          <w:rFonts w:hint="eastAsia" w:asciiTheme="minorEastAsia" w:hAnsiTheme="minorEastAsia" w:eastAsiaTheme="minorEastAsia"/>
          <w:color w:val="auto"/>
          <w:kern w:val="2"/>
          <w:sz w:val="24"/>
          <w:szCs w:val="24"/>
          <w:highlight w:val="none"/>
        </w:rPr>
        <w:t xml:space="preserve"> </w:t>
      </w:r>
    </w:p>
    <w:tbl>
      <w:tblPr>
        <w:tblStyle w:val="4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506"/>
        <w:gridCol w:w="2181"/>
        <w:gridCol w:w="1807"/>
      </w:tblGrid>
      <w:tr w14:paraId="0AEB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1C92A0D1">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序号</w:t>
            </w:r>
          </w:p>
        </w:tc>
        <w:tc>
          <w:tcPr>
            <w:tcW w:w="4506" w:type="dxa"/>
            <w:tcBorders>
              <w:top w:val="single" w:color="auto" w:sz="4" w:space="0"/>
              <w:left w:val="single" w:color="auto" w:sz="4" w:space="0"/>
              <w:bottom w:val="single" w:color="auto" w:sz="4" w:space="0"/>
              <w:right w:val="single" w:color="auto" w:sz="4" w:space="0"/>
            </w:tcBorders>
          </w:tcPr>
          <w:p w14:paraId="52644F09">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实质性响应条款</w:t>
            </w:r>
          </w:p>
        </w:tc>
        <w:tc>
          <w:tcPr>
            <w:tcW w:w="2181" w:type="dxa"/>
            <w:tcBorders>
              <w:top w:val="single" w:color="auto" w:sz="4" w:space="0"/>
              <w:left w:val="single" w:color="auto" w:sz="4" w:space="0"/>
              <w:bottom w:val="single" w:color="auto" w:sz="4" w:space="0"/>
              <w:right w:val="single" w:color="auto" w:sz="4" w:space="0"/>
            </w:tcBorders>
          </w:tcPr>
          <w:p w14:paraId="42482194">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投标人响应情况</w:t>
            </w:r>
          </w:p>
        </w:tc>
        <w:tc>
          <w:tcPr>
            <w:tcW w:w="1807" w:type="dxa"/>
            <w:tcBorders>
              <w:top w:val="single" w:color="auto" w:sz="4" w:space="0"/>
              <w:left w:val="single" w:color="auto" w:sz="4" w:space="0"/>
              <w:bottom w:val="single" w:color="auto" w:sz="4" w:space="0"/>
              <w:right w:val="single" w:color="auto" w:sz="4" w:space="0"/>
            </w:tcBorders>
          </w:tcPr>
          <w:p w14:paraId="513E3F7A">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差异</w:t>
            </w:r>
          </w:p>
        </w:tc>
      </w:tr>
      <w:tr w14:paraId="5C4D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079B1B53">
            <w:pPr>
              <w:jc w:val="center"/>
              <w:rPr>
                <w:rFonts w:asciiTheme="minorEastAsia" w:hAnsiTheme="minorEastAsia" w:eastAsiaTheme="minorEastAsia"/>
                <w:color w:val="auto"/>
                <w:sz w:val="24"/>
                <w:highlight w:val="none"/>
              </w:rPr>
            </w:pPr>
            <w:r>
              <w:rPr>
                <w:rFonts w:hint="eastAsia" w:hAnsi="宋体" w:cs="宋体"/>
                <w:color w:val="auto"/>
                <w:sz w:val="21"/>
                <w:szCs w:val="21"/>
                <w:highlight w:val="none"/>
              </w:rPr>
              <w:t>1</w:t>
            </w:r>
          </w:p>
        </w:tc>
        <w:tc>
          <w:tcPr>
            <w:tcW w:w="4506" w:type="dxa"/>
            <w:tcBorders>
              <w:top w:val="single" w:color="auto" w:sz="4" w:space="0"/>
              <w:left w:val="single" w:color="auto" w:sz="4" w:space="0"/>
              <w:bottom w:val="single" w:color="auto" w:sz="4" w:space="0"/>
              <w:right w:val="single" w:color="auto" w:sz="4" w:space="0"/>
            </w:tcBorders>
            <w:vAlign w:val="center"/>
          </w:tcPr>
          <w:p w14:paraId="2AB6A9C4">
            <w:pPr>
              <w:rPr>
                <w:rFonts w:asciiTheme="minorEastAsia" w:hAnsiTheme="minorEastAsia" w:eastAsiaTheme="minorEastAsia"/>
                <w:color w:val="auto"/>
                <w:sz w:val="24"/>
                <w:highlight w:val="none"/>
              </w:rPr>
            </w:pPr>
            <w:r>
              <w:rPr>
                <w:rFonts w:hint="eastAsia" w:hAnsi="宋体" w:cs="宋体"/>
                <w:color w:val="auto"/>
                <w:sz w:val="21"/>
                <w:szCs w:val="21"/>
                <w:highlight w:val="none"/>
              </w:rPr>
              <w:t>合格投标人资格要求</w:t>
            </w:r>
          </w:p>
        </w:tc>
        <w:tc>
          <w:tcPr>
            <w:tcW w:w="2181" w:type="dxa"/>
            <w:tcBorders>
              <w:top w:val="single" w:color="auto" w:sz="4" w:space="0"/>
              <w:left w:val="single" w:color="auto" w:sz="4" w:space="0"/>
              <w:bottom w:val="single" w:color="auto" w:sz="4" w:space="0"/>
              <w:right w:val="single" w:color="auto" w:sz="4" w:space="0"/>
            </w:tcBorders>
          </w:tcPr>
          <w:p w14:paraId="2FD56190">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6CD633D4">
            <w:pPr>
              <w:pStyle w:val="152"/>
              <w:spacing w:line="360" w:lineRule="auto"/>
              <w:jc w:val="center"/>
              <w:rPr>
                <w:rFonts w:asciiTheme="minorEastAsia" w:hAnsiTheme="minorEastAsia" w:eastAsiaTheme="minorEastAsia"/>
                <w:color w:val="auto"/>
                <w:sz w:val="24"/>
                <w:highlight w:val="none"/>
              </w:rPr>
            </w:pPr>
          </w:p>
        </w:tc>
      </w:tr>
      <w:tr w14:paraId="3BD3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14:paraId="501191E4">
            <w:pPr>
              <w:jc w:val="center"/>
              <w:rPr>
                <w:rFonts w:asciiTheme="minorEastAsia" w:hAnsiTheme="minorEastAsia" w:eastAsiaTheme="minorEastAsia"/>
                <w:color w:val="auto"/>
                <w:sz w:val="24"/>
                <w:highlight w:val="none"/>
              </w:rPr>
            </w:pPr>
            <w:r>
              <w:rPr>
                <w:rFonts w:hint="eastAsia" w:hAnsi="宋体" w:cs="宋体"/>
                <w:color w:val="auto"/>
                <w:sz w:val="21"/>
                <w:szCs w:val="21"/>
                <w:highlight w:val="none"/>
              </w:rPr>
              <w:t>2</w:t>
            </w:r>
          </w:p>
        </w:tc>
        <w:tc>
          <w:tcPr>
            <w:tcW w:w="4506" w:type="dxa"/>
            <w:tcBorders>
              <w:top w:val="single" w:color="auto" w:sz="4" w:space="0"/>
              <w:left w:val="single" w:color="auto" w:sz="4" w:space="0"/>
              <w:bottom w:val="single" w:color="auto" w:sz="4" w:space="0"/>
              <w:right w:val="single" w:color="auto" w:sz="4" w:space="0"/>
            </w:tcBorders>
            <w:vAlign w:val="center"/>
          </w:tcPr>
          <w:p w14:paraId="08DAFD84">
            <w:pPr>
              <w:rPr>
                <w:rFonts w:asciiTheme="minorEastAsia" w:hAnsiTheme="minorEastAsia" w:eastAsiaTheme="minorEastAsia"/>
                <w:color w:val="auto"/>
                <w:sz w:val="24"/>
                <w:highlight w:val="none"/>
              </w:rPr>
            </w:pPr>
            <w:r>
              <w:rPr>
                <w:rFonts w:hint="eastAsia" w:hAnsi="宋体" w:cs="宋体"/>
                <w:color w:val="auto"/>
                <w:sz w:val="21"/>
                <w:szCs w:val="21"/>
                <w:highlight w:val="none"/>
              </w:rPr>
              <w:t>投标文件格式带“★”内容</w:t>
            </w:r>
          </w:p>
        </w:tc>
        <w:tc>
          <w:tcPr>
            <w:tcW w:w="2181" w:type="dxa"/>
            <w:tcBorders>
              <w:top w:val="single" w:color="auto" w:sz="4" w:space="0"/>
              <w:left w:val="single" w:color="auto" w:sz="4" w:space="0"/>
              <w:bottom w:val="single" w:color="auto" w:sz="4" w:space="0"/>
              <w:right w:val="single" w:color="auto" w:sz="4" w:space="0"/>
            </w:tcBorders>
          </w:tcPr>
          <w:p w14:paraId="7766E1E4">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295DF594">
            <w:pPr>
              <w:pStyle w:val="152"/>
              <w:spacing w:line="360" w:lineRule="auto"/>
              <w:rPr>
                <w:rFonts w:asciiTheme="minorEastAsia" w:hAnsiTheme="minorEastAsia" w:eastAsiaTheme="minorEastAsia"/>
                <w:color w:val="auto"/>
                <w:sz w:val="24"/>
                <w:highlight w:val="none"/>
              </w:rPr>
            </w:pPr>
          </w:p>
        </w:tc>
      </w:tr>
      <w:tr w14:paraId="5E36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522016FA">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4506" w:type="dxa"/>
            <w:tcBorders>
              <w:top w:val="single" w:color="auto" w:sz="4" w:space="0"/>
              <w:left w:val="single" w:color="auto" w:sz="4" w:space="0"/>
              <w:bottom w:val="single" w:color="auto" w:sz="4" w:space="0"/>
              <w:right w:val="single" w:color="auto" w:sz="4" w:space="0"/>
            </w:tcBorders>
          </w:tcPr>
          <w:p w14:paraId="51CB1973">
            <w:pPr>
              <w:pStyle w:val="152"/>
              <w:spacing w:line="360" w:lineRule="auto"/>
              <w:rPr>
                <w:rFonts w:asciiTheme="minorEastAsia" w:hAnsiTheme="minorEastAsia" w:eastAsiaTheme="minorEastAsia"/>
                <w:color w:val="auto"/>
                <w:sz w:val="24"/>
                <w:highlight w:val="none"/>
              </w:rPr>
            </w:pPr>
          </w:p>
        </w:tc>
        <w:tc>
          <w:tcPr>
            <w:tcW w:w="2181" w:type="dxa"/>
            <w:tcBorders>
              <w:top w:val="single" w:color="auto" w:sz="4" w:space="0"/>
              <w:left w:val="single" w:color="auto" w:sz="4" w:space="0"/>
              <w:bottom w:val="single" w:color="auto" w:sz="4" w:space="0"/>
              <w:right w:val="single" w:color="auto" w:sz="4" w:space="0"/>
            </w:tcBorders>
          </w:tcPr>
          <w:p w14:paraId="71085F80">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09E427C4">
            <w:pPr>
              <w:pStyle w:val="152"/>
              <w:spacing w:line="360" w:lineRule="auto"/>
              <w:rPr>
                <w:rFonts w:asciiTheme="minorEastAsia" w:hAnsiTheme="minorEastAsia" w:eastAsiaTheme="minorEastAsia"/>
                <w:color w:val="auto"/>
                <w:sz w:val="24"/>
                <w:highlight w:val="none"/>
              </w:rPr>
            </w:pPr>
          </w:p>
        </w:tc>
      </w:tr>
      <w:tr w14:paraId="4B35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3DE4E889">
            <w:pPr>
              <w:pStyle w:val="152"/>
              <w:spacing w:line="360" w:lineRule="auto"/>
              <w:jc w:val="center"/>
              <w:rPr>
                <w:rFonts w:asciiTheme="minorEastAsia" w:hAnsiTheme="minorEastAsia" w:eastAsiaTheme="minorEastAsia"/>
                <w:color w:val="auto"/>
                <w:sz w:val="24"/>
                <w:highlight w:val="none"/>
              </w:rPr>
            </w:pPr>
          </w:p>
        </w:tc>
        <w:tc>
          <w:tcPr>
            <w:tcW w:w="4506" w:type="dxa"/>
            <w:tcBorders>
              <w:top w:val="single" w:color="auto" w:sz="4" w:space="0"/>
              <w:left w:val="single" w:color="auto" w:sz="4" w:space="0"/>
              <w:bottom w:val="single" w:color="auto" w:sz="4" w:space="0"/>
              <w:right w:val="single" w:color="auto" w:sz="4" w:space="0"/>
            </w:tcBorders>
          </w:tcPr>
          <w:p w14:paraId="1739CC56">
            <w:pPr>
              <w:pStyle w:val="152"/>
              <w:spacing w:line="360" w:lineRule="auto"/>
              <w:rPr>
                <w:rFonts w:asciiTheme="minorEastAsia" w:hAnsiTheme="minorEastAsia" w:eastAsiaTheme="minorEastAsia"/>
                <w:color w:val="auto"/>
                <w:sz w:val="24"/>
                <w:highlight w:val="none"/>
              </w:rPr>
            </w:pPr>
          </w:p>
        </w:tc>
        <w:tc>
          <w:tcPr>
            <w:tcW w:w="2181" w:type="dxa"/>
            <w:tcBorders>
              <w:top w:val="single" w:color="auto" w:sz="4" w:space="0"/>
              <w:left w:val="single" w:color="auto" w:sz="4" w:space="0"/>
              <w:bottom w:val="single" w:color="auto" w:sz="4" w:space="0"/>
              <w:right w:val="single" w:color="auto" w:sz="4" w:space="0"/>
            </w:tcBorders>
          </w:tcPr>
          <w:p w14:paraId="4C6CDC9F">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0CD65827">
            <w:pPr>
              <w:pStyle w:val="152"/>
              <w:spacing w:line="360" w:lineRule="auto"/>
              <w:rPr>
                <w:rFonts w:asciiTheme="minorEastAsia" w:hAnsiTheme="minorEastAsia" w:eastAsiaTheme="minorEastAsia"/>
                <w:color w:val="auto"/>
                <w:sz w:val="24"/>
                <w:highlight w:val="none"/>
              </w:rPr>
            </w:pPr>
          </w:p>
        </w:tc>
      </w:tr>
      <w:tr w14:paraId="0773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04F785D3">
            <w:pPr>
              <w:pStyle w:val="152"/>
              <w:spacing w:line="360" w:lineRule="auto"/>
              <w:jc w:val="center"/>
              <w:rPr>
                <w:rFonts w:asciiTheme="minorEastAsia" w:hAnsiTheme="minorEastAsia" w:eastAsiaTheme="minorEastAsia"/>
                <w:color w:val="auto"/>
                <w:sz w:val="24"/>
                <w:highlight w:val="none"/>
              </w:rPr>
            </w:pPr>
          </w:p>
        </w:tc>
        <w:tc>
          <w:tcPr>
            <w:tcW w:w="4506" w:type="dxa"/>
            <w:tcBorders>
              <w:top w:val="single" w:color="auto" w:sz="4" w:space="0"/>
              <w:left w:val="single" w:color="auto" w:sz="4" w:space="0"/>
              <w:bottom w:val="single" w:color="auto" w:sz="4" w:space="0"/>
              <w:right w:val="single" w:color="auto" w:sz="4" w:space="0"/>
            </w:tcBorders>
          </w:tcPr>
          <w:p w14:paraId="703190BB">
            <w:pPr>
              <w:pStyle w:val="152"/>
              <w:spacing w:line="360" w:lineRule="auto"/>
              <w:rPr>
                <w:rFonts w:asciiTheme="minorEastAsia" w:hAnsiTheme="minorEastAsia" w:eastAsiaTheme="minorEastAsia"/>
                <w:color w:val="auto"/>
                <w:sz w:val="24"/>
                <w:highlight w:val="none"/>
              </w:rPr>
            </w:pPr>
          </w:p>
        </w:tc>
        <w:tc>
          <w:tcPr>
            <w:tcW w:w="2181" w:type="dxa"/>
            <w:tcBorders>
              <w:top w:val="single" w:color="auto" w:sz="4" w:space="0"/>
              <w:left w:val="single" w:color="auto" w:sz="4" w:space="0"/>
              <w:bottom w:val="single" w:color="auto" w:sz="4" w:space="0"/>
              <w:right w:val="single" w:color="auto" w:sz="4" w:space="0"/>
            </w:tcBorders>
          </w:tcPr>
          <w:p w14:paraId="6196356D">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17DB0A35">
            <w:pPr>
              <w:pStyle w:val="152"/>
              <w:spacing w:line="360" w:lineRule="auto"/>
              <w:rPr>
                <w:rFonts w:asciiTheme="minorEastAsia" w:hAnsiTheme="minorEastAsia" w:eastAsiaTheme="minorEastAsia"/>
                <w:color w:val="auto"/>
                <w:sz w:val="24"/>
                <w:highlight w:val="none"/>
              </w:rPr>
            </w:pPr>
          </w:p>
        </w:tc>
      </w:tr>
    </w:tbl>
    <w:p w14:paraId="2C0C0497">
      <w:pPr>
        <w:pStyle w:val="152"/>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说明：</w:t>
      </w:r>
    </w:p>
    <w:p w14:paraId="4E17C893">
      <w:pPr>
        <w:pStyle w:val="152"/>
        <w:numPr>
          <w:ilvl w:val="0"/>
          <w:numId w:val="30"/>
        </w:numPr>
        <w:tabs>
          <w:tab w:val="left" w:pos="-426"/>
        </w:tabs>
        <w:spacing w:line="360" w:lineRule="auto"/>
        <w:ind w:left="0" w:right="-57" w:rightChars="-27" w:firstLine="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本表所列条款必须一一予以响应（留空视同响应），“实质性响应条款”一栏应填写具体的响应内容。</w:t>
      </w:r>
    </w:p>
    <w:p w14:paraId="6BF6760A">
      <w:pPr>
        <w:pStyle w:val="152"/>
        <w:numPr>
          <w:ilvl w:val="0"/>
          <w:numId w:val="30"/>
        </w:numPr>
        <w:tabs>
          <w:tab w:val="left" w:pos="-426"/>
        </w:tabs>
        <w:spacing w:line="360" w:lineRule="auto"/>
        <w:ind w:left="0" w:right="-57" w:rightChars="-27" w:firstLine="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“投标人响应情况”中有差异的要具体说明；填写响应、完全响应或留空均视同响应。</w:t>
      </w:r>
    </w:p>
    <w:p w14:paraId="34DEA147">
      <w:pPr>
        <w:pStyle w:val="152"/>
        <w:numPr>
          <w:ilvl w:val="0"/>
          <w:numId w:val="30"/>
        </w:numPr>
        <w:tabs>
          <w:tab w:val="left" w:pos="-426"/>
        </w:tabs>
        <w:spacing w:line="360" w:lineRule="auto"/>
        <w:ind w:left="0" w:right="-57" w:rightChars="-27" w:firstLine="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“差异”有差异的要具体说明，如无差异可填写“无差异”或留空。</w:t>
      </w:r>
    </w:p>
    <w:p w14:paraId="068287F2">
      <w:pPr>
        <w:pStyle w:val="152"/>
        <w:numPr>
          <w:ilvl w:val="0"/>
          <w:numId w:val="30"/>
        </w:numPr>
        <w:tabs>
          <w:tab w:val="left" w:pos="-426"/>
        </w:tabs>
        <w:spacing w:line="360" w:lineRule="auto"/>
        <w:ind w:left="0" w:right="-483" w:rightChars="-230" w:firstLine="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请投标人认真填写本表内容，如填写错误将可能导致投标无效。</w:t>
      </w:r>
    </w:p>
    <w:p w14:paraId="714B7DE0">
      <w:pPr>
        <w:spacing w:line="360" w:lineRule="auto"/>
        <w:rPr>
          <w:rFonts w:asciiTheme="minorEastAsia" w:hAnsiTheme="minorEastAsia" w:eastAsiaTheme="minorEastAsia"/>
          <w:color w:val="auto"/>
          <w:sz w:val="24"/>
          <w:szCs w:val="24"/>
          <w:highlight w:val="none"/>
        </w:rPr>
      </w:pPr>
    </w:p>
    <w:p w14:paraId="19B1DF7B">
      <w:pPr>
        <w:adjustRightInd w:val="0"/>
        <w:snapToGrid w:val="0"/>
        <w:spacing w:line="360" w:lineRule="auto"/>
        <w:ind w:right="420"/>
        <w:jc w:val="center"/>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 xml:space="preserve">                   </w:t>
      </w:r>
    </w:p>
    <w:p w14:paraId="5BD8A1BF">
      <w:pPr>
        <w:adjustRightInd w:val="0"/>
        <w:snapToGrid w:val="0"/>
        <w:spacing w:line="360" w:lineRule="auto"/>
        <w:ind w:right="420"/>
        <w:jc w:val="center"/>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 xml:space="preserve">              投标人名称（签章）：</w:t>
      </w:r>
    </w:p>
    <w:p w14:paraId="678A8704">
      <w:pPr>
        <w:adjustRightInd w:val="0"/>
        <w:snapToGrid w:val="0"/>
        <w:spacing w:line="360" w:lineRule="auto"/>
        <w:ind w:right="420"/>
        <w:jc w:val="center"/>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color w:val="auto"/>
          <w:sz w:val="24"/>
          <w:szCs w:val="24"/>
          <w:highlight w:val="none"/>
        </w:rPr>
        <w:t xml:space="preserve">                   日期：    年  月  日</w:t>
      </w:r>
    </w:p>
    <w:p w14:paraId="103D8A33">
      <w:pPr>
        <w:rPr>
          <w:rFonts w:asciiTheme="minorEastAsia" w:hAnsiTheme="minorEastAsia" w:eastAsiaTheme="minorEastAsia"/>
          <w:b/>
          <w:color w:val="auto"/>
          <w:sz w:val="24"/>
          <w:szCs w:val="24"/>
          <w:highlight w:val="none"/>
          <w:lang w:val="en-GB"/>
        </w:rPr>
      </w:pPr>
      <w:r>
        <w:rPr>
          <w:rFonts w:asciiTheme="minorEastAsia" w:hAnsiTheme="minorEastAsia" w:eastAsiaTheme="minorEastAsia"/>
          <w:b/>
          <w:color w:val="auto"/>
          <w:sz w:val="24"/>
          <w:szCs w:val="24"/>
          <w:highlight w:val="none"/>
          <w:lang w:val="en-GB"/>
        </w:rPr>
        <w:br w:type="page"/>
      </w:r>
    </w:p>
    <w:p w14:paraId="2D6B2691">
      <w:pPr>
        <w:tabs>
          <w:tab w:val="left" w:pos="1050"/>
          <w:tab w:val="left" w:pos="1838"/>
        </w:tabs>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sz w:val="24"/>
          <w:szCs w:val="24"/>
          <w:highlight w:val="none"/>
          <w:lang w:val="en-GB"/>
        </w:rPr>
        <w:t>附件1</w:t>
      </w:r>
      <w:r>
        <w:rPr>
          <w:rFonts w:hint="eastAsia" w:asciiTheme="minorEastAsia" w:hAnsiTheme="minorEastAsia" w:eastAsiaTheme="minorEastAsia"/>
          <w:b/>
          <w:color w:val="auto"/>
          <w:sz w:val="24"/>
          <w:szCs w:val="24"/>
          <w:highlight w:val="none"/>
        </w:rPr>
        <w:t>3</w:t>
      </w:r>
      <w:r>
        <w:rPr>
          <w:rFonts w:hint="eastAsia" w:asciiTheme="minorEastAsia" w:hAnsiTheme="minorEastAsia" w:eastAsiaTheme="minorEastAsia"/>
          <w:b/>
          <w:color w:val="auto"/>
          <w:sz w:val="24"/>
          <w:szCs w:val="24"/>
          <w:highlight w:val="none"/>
          <w:lang w:val="en-GB"/>
        </w:rPr>
        <w:t>：</w:t>
      </w:r>
    </w:p>
    <w:p w14:paraId="61249BDA">
      <w:pPr>
        <w:spacing w:line="360" w:lineRule="auto"/>
        <w:ind w:firstLine="562"/>
        <w:jc w:val="center"/>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eastAsia="zh-CN"/>
        </w:rPr>
        <w:t>招标人需求</w:t>
      </w:r>
      <w:r>
        <w:rPr>
          <w:rFonts w:hint="eastAsia" w:asciiTheme="minorEastAsia" w:hAnsiTheme="minorEastAsia" w:eastAsiaTheme="minorEastAsia"/>
          <w:b/>
          <w:color w:val="auto"/>
          <w:sz w:val="28"/>
          <w:szCs w:val="28"/>
          <w:highlight w:val="none"/>
          <w:lang w:val="en-GB"/>
        </w:rPr>
        <w:t>响应一览表</w:t>
      </w:r>
    </w:p>
    <w:p w14:paraId="431203C7">
      <w:pPr>
        <w:spacing w:line="360" w:lineRule="auto"/>
        <w:rPr>
          <w:rFonts w:asciiTheme="minorEastAsia" w:hAnsiTheme="minorEastAsia" w:eastAsiaTheme="minorEastAsia"/>
          <w:b/>
          <w:color w:val="auto"/>
          <w:kern w:val="2"/>
          <w:sz w:val="24"/>
          <w:szCs w:val="24"/>
          <w:highlight w:val="none"/>
        </w:rPr>
      </w:pPr>
    </w:p>
    <w:p w14:paraId="1A0A44A2">
      <w:pPr>
        <w:spacing w:line="360" w:lineRule="auto"/>
        <w:ind w:firstLine="240" w:firstLineChars="100"/>
        <w:rPr>
          <w:rFonts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kern w:val="2"/>
          <w:sz w:val="24"/>
          <w:szCs w:val="24"/>
          <w:highlight w:val="none"/>
        </w:rPr>
        <w:t>项目名称：</w:t>
      </w:r>
      <w:r>
        <w:rPr>
          <w:rFonts w:hint="eastAsia" w:ascii="宋体" w:hAnsi="宋体" w:cs="宋体" w:eastAsiaTheme="minorEastAsia"/>
          <w:color w:val="auto"/>
          <w:sz w:val="24"/>
          <w:szCs w:val="24"/>
          <w:highlight w:val="none"/>
          <w:lang w:eastAsia="zh-CN"/>
        </w:rPr>
        <w:t>广州市农科院鲜蔬火锅餐厅VI品牌策划设计全案整装招标</w:t>
      </w:r>
    </w:p>
    <w:p w14:paraId="0DE9B1C3">
      <w:pPr>
        <w:spacing w:line="360" w:lineRule="auto"/>
        <w:ind w:firstLine="240" w:firstLineChars="100"/>
        <w:rPr>
          <w:rFonts w:hint="eastAsia" w:asciiTheme="minorEastAsia" w:hAnsiTheme="minorEastAsia" w:eastAsiaTheme="minorEastAsia"/>
          <w:color w:val="auto"/>
          <w:kern w:val="2"/>
          <w:sz w:val="24"/>
          <w:szCs w:val="24"/>
          <w:highlight w:val="none"/>
          <w:lang w:eastAsia="zh-CN"/>
        </w:rPr>
      </w:pPr>
      <w:r>
        <w:rPr>
          <w:rFonts w:hint="eastAsia" w:asciiTheme="minorEastAsia" w:hAnsiTheme="minorEastAsia" w:eastAsiaTheme="minorEastAsia"/>
          <w:color w:val="auto"/>
          <w:kern w:val="2"/>
          <w:sz w:val="24"/>
          <w:szCs w:val="24"/>
          <w:highlight w:val="none"/>
        </w:rPr>
        <w:t>项目编号：</w:t>
      </w:r>
      <w:r>
        <w:rPr>
          <w:rFonts w:hint="eastAsia" w:asciiTheme="minorEastAsia" w:hAnsiTheme="minorEastAsia" w:eastAsiaTheme="minorEastAsia"/>
          <w:color w:val="auto"/>
          <w:kern w:val="2"/>
          <w:sz w:val="24"/>
          <w:szCs w:val="24"/>
          <w:highlight w:val="none"/>
          <w:lang w:eastAsia="zh-CN"/>
        </w:rPr>
        <w:t>ZYNK20250501</w:t>
      </w:r>
    </w:p>
    <w:tbl>
      <w:tblPr>
        <w:tblStyle w:val="4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807"/>
        <w:gridCol w:w="2880"/>
        <w:gridCol w:w="1807"/>
      </w:tblGrid>
      <w:tr w14:paraId="23AE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038BE5C2">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序号</w:t>
            </w:r>
          </w:p>
        </w:tc>
        <w:tc>
          <w:tcPr>
            <w:tcW w:w="3807" w:type="dxa"/>
            <w:tcBorders>
              <w:top w:val="single" w:color="auto" w:sz="4" w:space="0"/>
              <w:left w:val="single" w:color="auto" w:sz="4" w:space="0"/>
              <w:bottom w:val="single" w:color="auto" w:sz="4" w:space="0"/>
              <w:right w:val="single" w:color="auto" w:sz="4" w:space="0"/>
            </w:tcBorders>
          </w:tcPr>
          <w:p w14:paraId="5D400999">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招标人需求</w:t>
            </w:r>
            <w:r>
              <w:rPr>
                <w:rFonts w:hint="eastAsia" w:asciiTheme="minorEastAsia" w:hAnsiTheme="minorEastAsia" w:eastAsiaTheme="minorEastAsia"/>
                <w:color w:val="auto"/>
                <w:sz w:val="24"/>
                <w:highlight w:val="none"/>
              </w:rPr>
              <w:t>内容</w:t>
            </w:r>
          </w:p>
        </w:tc>
        <w:tc>
          <w:tcPr>
            <w:tcW w:w="2880" w:type="dxa"/>
            <w:tcBorders>
              <w:top w:val="single" w:color="auto" w:sz="4" w:space="0"/>
              <w:left w:val="single" w:color="auto" w:sz="4" w:space="0"/>
              <w:bottom w:val="single" w:color="auto" w:sz="4" w:space="0"/>
              <w:right w:val="single" w:color="auto" w:sz="4" w:space="0"/>
            </w:tcBorders>
          </w:tcPr>
          <w:p w14:paraId="00308FE1">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投标人响应情况</w:t>
            </w:r>
          </w:p>
        </w:tc>
        <w:tc>
          <w:tcPr>
            <w:tcW w:w="1807" w:type="dxa"/>
            <w:tcBorders>
              <w:top w:val="single" w:color="auto" w:sz="4" w:space="0"/>
              <w:left w:val="single" w:color="auto" w:sz="4" w:space="0"/>
              <w:bottom w:val="single" w:color="auto" w:sz="4" w:space="0"/>
              <w:right w:val="single" w:color="auto" w:sz="4" w:space="0"/>
            </w:tcBorders>
          </w:tcPr>
          <w:p w14:paraId="3ABF47FE">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差异</w:t>
            </w:r>
          </w:p>
        </w:tc>
      </w:tr>
      <w:tr w14:paraId="0E18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28" w:type="dxa"/>
            <w:tcBorders>
              <w:top w:val="single" w:color="auto" w:sz="4" w:space="0"/>
              <w:left w:val="single" w:color="auto" w:sz="4" w:space="0"/>
              <w:bottom w:val="single" w:color="auto" w:sz="4" w:space="0"/>
              <w:right w:val="single" w:color="auto" w:sz="4" w:space="0"/>
            </w:tcBorders>
          </w:tcPr>
          <w:p w14:paraId="17C9FBE4">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3807" w:type="dxa"/>
            <w:tcBorders>
              <w:top w:val="single" w:color="auto" w:sz="4" w:space="0"/>
              <w:left w:val="single" w:color="auto" w:sz="4" w:space="0"/>
              <w:bottom w:val="single" w:color="auto" w:sz="4" w:space="0"/>
              <w:right w:val="single" w:color="auto" w:sz="4" w:space="0"/>
            </w:tcBorders>
            <w:vAlign w:val="center"/>
          </w:tcPr>
          <w:p w14:paraId="0725D753">
            <w:pPr>
              <w:pStyle w:val="152"/>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以下内容根据本采购文件“第二章 </w:t>
            </w:r>
            <w:r>
              <w:rPr>
                <w:rFonts w:hint="eastAsia" w:asciiTheme="minorEastAsia" w:hAnsiTheme="minorEastAsia" w:eastAsiaTheme="minorEastAsia"/>
                <w:color w:val="auto"/>
                <w:sz w:val="24"/>
                <w:highlight w:val="none"/>
                <w:lang w:eastAsia="zh-CN"/>
              </w:rPr>
              <w:t>招标人需求</w:t>
            </w:r>
            <w:r>
              <w:rPr>
                <w:rFonts w:hint="eastAsia" w:asciiTheme="minorEastAsia" w:hAnsiTheme="minorEastAsia" w:eastAsiaTheme="minorEastAsia"/>
                <w:color w:val="auto"/>
                <w:sz w:val="24"/>
                <w:highlight w:val="none"/>
              </w:rPr>
              <w:t>”内容详细列举</w:t>
            </w:r>
          </w:p>
        </w:tc>
        <w:tc>
          <w:tcPr>
            <w:tcW w:w="2880" w:type="dxa"/>
            <w:tcBorders>
              <w:top w:val="single" w:color="auto" w:sz="4" w:space="0"/>
              <w:left w:val="single" w:color="auto" w:sz="4" w:space="0"/>
              <w:bottom w:val="single" w:color="auto" w:sz="4" w:space="0"/>
              <w:right w:val="single" w:color="auto" w:sz="4" w:space="0"/>
            </w:tcBorders>
          </w:tcPr>
          <w:p w14:paraId="1F05370F">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14CC805F">
            <w:pPr>
              <w:pStyle w:val="152"/>
              <w:spacing w:line="360" w:lineRule="auto"/>
              <w:jc w:val="center"/>
              <w:rPr>
                <w:rFonts w:asciiTheme="minorEastAsia" w:hAnsiTheme="minorEastAsia" w:eastAsiaTheme="minorEastAsia"/>
                <w:color w:val="auto"/>
                <w:sz w:val="24"/>
                <w:highlight w:val="none"/>
              </w:rPr>
            </w:pPr>
          </w:p>
        </w:tc>
      </w:tr>
      <w:tr w14:paraId="4D6F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4D3ACF40">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3807" w:type="dxa"/>
            <w:tcBorders>
              <w:top w:val="single" w:color="auto" w:sz="4" w:space="0"/>
              <w:left w:val="single" w:color="auto" w:sz="4" w:space="0"/>
              <w:bottom w:val="single" w:color="auto" w:sz="4" w:space="0"/>
              <w:right w:val="single" w:color="auto" w:sz="4" w:space="0"/>
            </w:tcBorders>
          </w:tcPr>
          <w:p w14:paraId="52F5D877">
            <w:pPr>
              <w:pStyle w:val="152"/>
              <w:spacing w:line="360" w:lineRule="auto"/>
              <w:rPr>
                <w:rFonts w:asciiTheme="minorEastAsia" w:hAnsiTheme="minorEastAsia" w:eastAsiaTheme="minorEastAsia"/>
                <w:color w:val="auto"/>
                <w:sz w:val="24"/>
                <w:highlight w:val="none"/>
              </w:rPr>
            </w:pPr>
          </w:p>
        </w:tc>
        <w:tc>
          <w:tcPr>
            <w:tcW w:w="2880" w:type="dxa"/>
            <w:tcBorders>
              <w:top w:val="single" w:color="auto" w:sz="4" w:space="0"/>
              <w:left w:val="single" w:color="auto" w:sz="4" w:space="0"/>
              <w:bottom w:val="single" w:color="auto" w:sz="4" w:space="0"/>
              <w:right w:val="single" w:color="auto" w:sz="4" w:space="0"/>
            </w:tcBorders>
          </w:tcPr>
          <w:p w14:paraId="246808D5">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3BF00DA5">
            <w:pPr>
              <w:pStyle w:val="152"/>
              <w:spacing w:line="360" w:lineRule="auto"/>
              <w:rPr>
                <w:rFonts w:asciiTheme="minorEastAsia" w:hAnsiTheme="minorEastAsia" w:eastAsiaTheme="minorEastAsia"/>
                <w:color w:val="auto"/>
                <w:sz w:val="24"/>
                <w:highlight w:val="none"/>
              </w:rPr>
            </w:pPr>
          </w:p>
        </w:tc>
      </w:tr>
      <w:tr w14:paraId="2385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1E2C26E0">
            <w:pPr>
              <w:pStyle w:val="15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3807" w:type="dxa"/>
            <w:tcBorders>
              <w:top w:val="single" w:color="auto" w:sz="4" w:space="0"/>
              <w:left w:val="single" w:color="auto" w:sz="4" w:space="0"/>
              <w:bottom w:val="single" w:color="auto" w:sz="4" w:space="0"/>
              <w:right w:val="single" w:color="auto" w:sz="4" w:space="0"/>
            </w:tcBorders>
          </w:tcPr>
          <w:p w14:paraId="5880CD40">
            <w:pPr>
              <w:pStyle w:val="152"/>
              <w:spacing w:line="360" w:lineRule="auto"/>
              <w:rPr>
                <w:rFonts w:asciiTheme="minorEastAsia" w:hAnsiTheme="minorEastAsia" w:eastAsiaTheme="minorEastAsia"/>
                <w:color w:val="auto"/>
                <w:sz w:val="24"/>
                <w:highlight w:val="none"/>
              </w:rPr>
            </w:pPr>
          </w:p>
        </w:tc>
        <w:tc>
          <w:tcPr>
            <w:tcW w:w="2880" w:type="dxa"/>
            <w:tcBorders>
              <w:top w:val="single" w:color="auto" w:sz="4" w:space="0"/>
              <w:left w:val="single" w:color="auto" w:sz="4" w:space="0"/>
              <w:bottom w:val="single" w:color="auto" w:sz="4" w:space="0"/>
              <w:right w:val="single" w:color="auto" w:sz="4" w:space="0"/>
            </w:tcBorders>
          </w:tcPr>
          <w:p w14:paraId="7DA9F5C5">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377F1348">
            <w:pPr>
              <w:pStyle w:val="152"/>
              <w:spacing w:line="360" w:lineRule="auto"/>
              <w:rPr>
                <w:rFonts w:asciiTheme="minorEastAsia" w:hAnsiTheme="minorEastAsia" w:eastAsiaTheme="minorEastAsia"/>
                <w:color w:val="auto"/>
                <w:sz w:val="24"/>
                <w:highlight w:val="none"/>
              </w:rPr>
            </w:pPr>
          </w:p>
        </w:tc>
      </w:tr>
      <w:tr w14:paraId="3503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2437F135">
            <w:pPr>
              <w:pStyle w:val="152"/>
              <w:spacing w:line="360" w:lineRule="auto"/>
              <w:jc w:val="center"/>
              <w:rPr>
                <w:rFonts w:asciiTheme="minorEastAsia" w:hAnsiTheme="minorEastAsia" w:eastAsiaTheme="minorEastAsia"/>
                <w:color w:val="auto"/>
                <w:sz w:val="24"/>
                <w:highlight w:val="none"/>
              </w:rPr>
            </w:pPr>
          </w:p>
        </w:tc>
        <w:tc>
          <w:tcPr>
            <w:tcW w:w="3807" w:type="dxa"/>
            <w:tcBorders>
              <w:top w:val="single" w:color="auto" w:sz="4" w:space="0"/>
              <w:left w:val="single" w:color="auto" w:sz="4" w:space="0"/>
              <w:bottom w:val="single" w:color="auto" w:sz="4" w:space="0"/>
              <w:right w:val="single" w:color="auto" w:sz="4" w:space="0"/>
            </w:tcBorders>
          </w:tcPr>
          <w:p w14:paraId="48468428">
            <w:pPr>
              <w:pStyle w:val="152"/>
              <w:spacing w:line="360" w:lineRule="auto"/>
              <w:rPr>
                <w:rFonts w:asciiTheme="minorEastAsia" w:hAnsiTheme="minorEastAsia" w:eastAsiaTheme="minorEastAsia"/>
                <w:color w:val="auto"/>
                <w:sz w:val="24"/>
                <w:highlight w:val="none"/>
              </w:rPr>
            </w:pPr>
          </w:p>
        </w:tc>
        <w:tc>
          <w:tcPr>
            <w:tcW w:w="2880" w:type="dxa"/>
            <w:tcBorders>
              <w:top w:val="single" w:color="auto" w:sz="4" w:space="0"/>
              <w:left w:val="single" w:color="auto" w:sz="4" w:space="0"/>
              <w:bottom w:val="single" w:color="auto" w:sz="4" w:space="0"/>
              <w:right w:val="single" w:color="auto" w:sz="4" w:space="0"/>
            </w:tcBorders>
          </w:tcPr>
          <w:p w14:paraId="466AB17E">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318370B0">
            <w:pPr>
              <w:pStyle w:val="152"/>
              <w:spacing w:line="360" w:lineRule="auto"/>
              <w:rPr>
                <w:rFonts w:asciiTheme="minorEastAsia" w:hAnsiTheme="minorEastAsia" w:eastAsiaTheme="minorEastAsia"/>
                <w:color w:val="auto"/>
                <w:sz w:val="24"/>
                <w:highlight w:val="none"/>
              </w:rPr>
            </w:pPr>
          </w:p>
        </w:tc>
      </w:tr>
      <w:tr w14:paraId="71F4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3228846D">
            <w:pPr>
              <w:pStyle w:val="152"/>
              <w:spacing w:line="360" w:lineRule="auto"/>
              <w:jc w:val="center"/>
              <w:rPr>
                <w:rFonts w:asciiTheme="minorEastAsia" w:hAnsiTheme="minorEastAsia" w:eastAsiaTheme="minorEastAsia"/>
                <w:color w:val="auto"/>
                <w:sz w:val="24"/>
                <w:highlight w:val="none"/>
              </w:rPr>
            </w:pPr>
          </w:p>
        </w:tc>
        <w:tc>
          <w:tcPr>
            <w:tcW w:w="3807" w:type="dxa"/>
            <w:tcBorders>
              <w:top w:val="single" w:color="auto" w:sz="4" w:space="0"/>
              <w:left w:val="single" w:color="auto" w:sz="4" w:space="0"/>
              <w:bottom w:val="single" w:color="auto" w:sz="4" w:space="0"/>
              <w:right w:val="single" w:color="auto" w:sz="4" w:space="0"/>
            </w:tcBorders>
          </w:tcPr>
          <w:p w14:paraId="419656F7">
            <w:pPr>
              <w:pStyle w:val="152"/>
              <w:spacing w:line="360" w:lineRule="auto"/>
              <w:rPr>
                <w:rFonts w:asciiTheme="minorEastAsia" w:hAnsiTheme="minorEastAsia" w:eastAsiaTheme="minorEastAsia"/>
                <w:color w:val="auto"/>
                <w:sz w:val="24"/>
                <w:highlight w:val="none"/>
              </w:rPr>
            </w:pPr>
          </w:p>
        </w:tc>
        <w:tc>
          <w:tcPr>
            <w:tcW w:w="2880" w:type="dxa"/>
            <w:tcBorders>
              <w:top w:val="single" w:color="auto" w:sz="4" w:space="0"/>
              <w:left w:val="single" w:color="auto" w:sz="4" w:space="0"/>
              <w:bottom w:val="single" w:color="auto" w:sz="4" w:space="0"/>
              <w:right w:val="single" w:color="auto" w:sz="4" w:space="0"/>
            </w:tcBorders>
          </w:tcPr>
          <w:p w14:paraId="0E4201A9">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06DA018C">
            <w:pPr>
              <w:pStyle w:val="152"/>
              <w:spacing w:line="360" w:lineRule="auto"/>
              <w:rPr>
                <w:rFonts w:asciiTheme="minorEastAsia" w:hAnsiTheme="minorEastAsia" w:eastAsiaTheme="minorEastAsia"/>
                <w:color w:val="auto"/>
                <w:sz w:val="24"/>
                <w:highlight w:val="none"/>
              </w:rPr>
            </w:pPr>
          </w:p>
        </w:tc>
      </w:tr>
      <w:tr w14:paraId="2254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14:paraId="7D62296A">
            <w:pPr>
              <w:pStyle w:val="152"/>
              <w:spacing w:line="360" w:lineRule="auto"/>
              <w:jc w:val="center"/>
              <w:rPr>
                <w:rFonts w:asciiTheme="minorEastAsia" w:hAnsiTheme="minorEastAsia" w:eastAsiaTheme="minorEastAsia"/>
                <w:color w:val="auto"/>
                <w:sz w:val="24"/>
                <w:highlight w:val="none"/>
              </w:rPr>
            </w:pPr>
          </w:p>
        </w:tc>
        <w:tc>
          <w:tcPr>
            <w:tcW w:w="3807" w:type="dxa"/>
            <w:tcBorders>
              <w:top w:val="single" w:color="auto" w:sz="4" w:space="0"/>
              <w:left w:val="single" w:color="auto" w:sz="4" w:space="0"/>
              <w:bottom w:val="single" w:color="auto" w:sz="4" w:space="0"/>
              <w:right w:val="single" w:color="auto" w:sz="4" w:space="0"/>
            </w:tcBorders>
          </w:tcPr>
          <w:p w14:paraId="62A6885F">
            <w:pPr>
              <w:pStyle w:val="152"/>
              <w:spacing w:line="360" w:lineRule="auto"/>
              <w:rPr>
                <w:rFonts w:asciiTheme="minorEastAsia" w:hAnsiTheme="minorEastAsia" w:eastAsiaTheme="minorEastAsia"/>
                <w:color w:val="auto"/>
                <w:sz w:val="24"/>
                <w:highlight w:val="none"/>
              </w:rPr>
            </w:pPr>
          </w:p>
        </w:tc>
        <w:tc>
          <w:tcPr>
            <w:tcW w:w="2880" w:type="dxa"/>
            <w:tcBorders>
              <w:top w:val="single" w:color="auto" w:sz="4" w:space="0"/>
              <w:left w:val="single" w:color="auto" w:sz="4" w:space="0"/>
              <w:bottom w:val="single" w:color="auto" w:sz="4" w:space="0"/>
              <w:right w:val="single" w:color="auto" w:sz="4" w:space="0"/>
            </w:tcBorders>
          </w:tcPr>
          <w:p w14:paraId="3667B1CE">
            <w:pPr>
              <w:pStyle w:val="152"/>
              <w:spacing w:line="360" w:lineRule="auto"/>
              <w:rPr>
                <w:rFonts w:asciiTheme="minorEastAsia" w:hAnsiTheme="minorEastAsia" w:eastAsiaTheme="minorEastAsia"/>
                <w:color w:val="auto"/>
                <w:sz w:val="24"/>
                <w:highlight w:val="none"/>
              </w:rPr>
            </w:pPr>
          </w:p>
        </w:tc>
        <w:tc>
          <w:tcPr>
            <w:tcW w:w="1807" w:type="dxa"/>
            <w:tcBorders>
              <w:top w:val="single" w:color="auto" w:sz="4" w:space="0"/>
              <w:left w:val="single" w:color="auto" w:sz="4" w:space="0"/>
              <w:bottom w:val="single" w:color="auto" w:sz="4" w:space="0"/>
              <w:right w:val="single" w:color="auto" w:sz="4" w:space="0"/>
            </w:tcBorders>
          </w:tcPr>
          <w:p w14:paraId="3C3A42E5">
            <w:pPr>
              <w:pStyle w:val="152"/>
              <w:spacing w:line="360" w:lineRule="auto"/>
              <w:rPr>
                <w:rFonts w:asciiTheme="minorEastAsia" w:hAnsiTheme="minorEastAsia" w:eastAsiaTheme="minorEastAsia"/>
                <w:color w:val="auto"/>
                <w:sz w:val="24"/>
                <w:highlight w:val="none"/>
              </w:rPr>
            </w:pPr>
          </w:p>
        </w:tc>
      </w:tr>
    </w:tbl>
    <w:p w14:paraId="3FEABAF5">
      <w:pPr>
        <w:pStyle w:val="152"/>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说明：</w:t>
      </w:r>
    </w:p>
    <w:p w14:paraId="09043FD5">
      <w:pPr>
        <w:pStyle w:val="152"/>
        <w:tabs>
          <w:tab w:val="left" w:pos="-426"/>
        </w:tabs>
        <w:spacing w:line="360" w:lineRule="auto"/>
        <w:ind w:left="360" w:right="-57" w:rightChars="-27" w:hanging="36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本表所列条款必须一一予以响应（留空视同响应），“</w:t>
      </w:r>
      <w:r>
        <w:rPr>
          <w:rFonts w:hint="eastAsia" w:asciiTheme="minorEastAsia" w:hAnsiTheme="minorEastAsia" w:eastAsiaTheme="minorEastAsia"/>
          <w:color w:val="auto"/>
          <w:sz w:val="24"/>
          <w:highlight w:val="none"/>
          <w:lang w:eastAsia="zh-CN"/>
        </w:rPr>
        <w:t>招标人需求</w:t>
      </w:r>
      <w:r>
        <w:rPr>
          <w:rFonts w:hint="eastAsia" w:asciiTheme="minorEastAsia" w:hAnsiTheme="minorEastAsia" w:eastAsiaTheme="minorEastAsia"/>
          <w:color w:val="auto"/>
          <w:sz w:val="24"/>
          <w:highlight w:val="none"/>
        </w:rPr>
        <w:t>内容”一栏应填写具体的响应内容。</w:t>
      </w:r>
    </w:p>
    <w:p w14:paraId="69CF4E2A">
      <w:pPr>
        <w:pStyle w:val="152"/>
        <w:tabs>
          <w:tab w:val="left" w:pos="-426"/>
        </w:tabs>
        <w:spacing w:line="360" w:lineRule="auto"/>
        <w:ind w:right="-57" w:rightChars="-27"/>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“投标人响应情况”中有差异的要具体说明；填写响应、完全响应或留空均视同响应。</w:t>
      </w:r>
    </w:p>
    <w:p w14:paraId="607BA491">
      <w:pPr>
        <w:pStyle w:val="152"/>
        <w:tabs>
          <w:tab w:val="left" w:pos="-426"/>
        </w:tabs>
        <w:spacing w:line="360" w:lineRule="auto"/>
        <w:ind w:right="-57" w:rightChars="-27"/>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“差异”有差异的要具体说明，如无差异可填写“无差异”或留空。</w:t>
      </w:r>
    </w:p>
    <w:p w14:paraId="00B2D87C">
      <w:pPr>
        <w:pStyle w:val="152"/>
        <w:tabs>
          <w:tab w:val="left" w:pos="-426"/>
        </w:tabs>
        <w:spacing w:line="360" w:lineRule="auto"/>
        <w:ind w:right="-483" w:rightChars="-23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请投标人认真填写本表内容。</w:t>
      </w:r>
    </w:p>
    <w:p w14:paraId="65AF0A16">
      <w:pPr>
        <w:adjustRightInd w:val="0"/>
        <w:snapToGrid w:val="0"/>
        <w:spacing w:line="360" w:lineRule="auto"/>
        <w:ind w:right="420"/>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             </w:t>
      </w:r>
    </w:p>
    <w:p w14:paraId="4D04BBEA">
      <w:pPr>
        <w:adjustRightInd w:val="0"/>
        <w:snapToGrid w:val="0"/>
        <w:spacing w:line="360" w:lineRule="auto"/>
        <w:ind w:right="420"/>
        <w:jc w:val="center"/>
        <w:rPr>
          <w:rFonts w:asciiTheme="minorEastAsia" w:hAnsiTheme="minorEastAsia" w:eastAsiaTheme="minorEastAsia"/>
          <w:color w:val="auto"/>
          <w:sz w:val="24"/>
          <w:szCs w:val="24"/>
          <w:highlight w:val="none"/>
        </w:rPr>
      </w:pPr>
    </w:p>
    <w:p w14:paraId="1749291E">
      <w:pPr>
        <w:adjustRightInd w:val="0"/>
        <w:snapToGrid w:val="0"/>
        <w:spacing w:line="360" w:lineRule="auto"/>
        <w:ind w:right="420"/>
        <w:jc w:val="center"/>
        <w:rPr>
          <w:rFonts w:asciiTheme="minorEastAsia" w:hAnsiTheme="minorEastAsia" w:eastAsiaTheme="minorEastAsia"/>
          <w:color w:val="auto"/>
          <w:sz w:val="24"/>
          <w:szCs w:val="24"/>
          <w:highlight w:val="none"/>
        </w:rPr>
      </w:pPr>
    </w:p>
    <w:p w14:paraId="4384EEB3">
      <w:pPr>
        <w:adjustRightInd w:val="0"/>
        <w:snapToGrid w:val="0"/>
        <w:spacing w:line="360" w:lineRule="auto"/>
        <w:ind w:right="420"/>
        <w:jc w:val="center"/>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 xml:space="preserve">              投标人名称（签章）：</w:t>
      </w:r>
    </w:p>
    <w:p w14:paraId="5729BA24">
      <w:pPr>
        <w:adjustRightInd w:val="0"/>
        <w:snapToGrid w:val="0"/>
        <w:spacing w:line="360" w:lineRule="auto"/>
        <w:ind w:right="420"/>
        <w:jc w:val="center"/>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color w:val="auto"/>
          <w:sz w:val="24"/>
          <w:szCs w:val="24"/>
          <w:highlight w:val="none"/>
        </w:rPr>
        <w:t xml:space="preserve">                   日期：    年  月  日</w:t>
      </w:r>
    </w:p>
    <w:p w14:paraId="785CFD99">
      <w:pPr>
        <w:rPr>
          <w:rFonts w:asciiTheme="minorEastAsia" w:hAnsiTheme="minorEastAsia" w:eastAsiaTheme="minorEastAsia"/>
          <w:b/>
          <w:color w:val="auto"/>
          <w:sz w:val="24"/>
          <w:szCs w:val="24"/>
          <w:highlight w:val="none"/>
        </w:rPr>
      </w:pPr>
    </w:p>
    <w:p w14:paraId="104C7FA0">
      <w:pPr>
        <w:rPr>
          <w:rFonts w:hint="eastAsia"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br w:type="page"/>
      </w:r>
    </w:p>
    <w:p w14:paraId="0AF3CA33">
      <w:pPr>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附件14：</w:t>
      </w:r>
    </w:p>
    <w:p w14:paraId="33DD3C14">
      <w:pPr>
        <w:pStyle w:val="102"/>
        <w:spacing w:line="360" w:lineRule="auto"/>
        <w:rPr>
          <w:rFonts w:asciiTheme="minorEastAsia" w:hAnsiTheme="minorEastAsia" w:eastAsiaTheme="minorEastAsia"/>
          <w:b/>
          <w:color w:val="auto"/>
          <w:sz w:val="24"/>
          <w:szCs w:val="24"/>
          <w:highlight w:val="none"/>
          <w:lang w:val="en-GB"/>
        </w:rPr>
      </w:pPr>
      <w:r>
        <w:rPr>
          <w:rFonts w:hint="eastAsia" w:asciiTheme="minorEastAsia" w:hAnsiTheme="minorEastAsia" w:eastAsiaTheme="minorEastAsia"/>
          <w:b/>
          <w:color w:val="auto"/>
          <w:sz w:val="24"/>
          <w:szCs w:val="24"/>
          <w:highlight w:val="none"/>
        </w:rPr>
        <w:t>附件14-1</w:t>
      </w:r>
      <w:r>
        <w:rPr>
          <w:rFonts w:hint="eastAsia" w:asciiTheme="minorEastAsia" w:hAnsiTheme="minorEastAsia" w:eastAsiaTheme="minorEastAsia"/>
          <w:b/>
          <w:color w:val="auto"/>
          <w:sz w:val="24"/>
          <w:szCs w:val="24"/>
          <w:highlight w:val="none"/>
          <w:lang w:val="en-GB"/>
        </w:rPr>
        <w:t>：</w:t>
      </w:r>
    </w:p>
    <w:p w14:paraId="68B7DFF8">
      <w:pPr>
        <w:spacing w:line="460" w:lineRule="exact"/>
        <w:rPr>
          <w:rFonts w:asciiTheme="minorEastAsia" w:hAnsiTheme="minorEastAsia" w:eastAsiaTheme="minorEastAsia"/>
          <w:b/>
          <w:color w:val="auto"/>
          <w:sz w:val="28"/>
          <w:szCs w:val="28"/>
          <w:highlight w:val="none"/>
        </w:rPr>
      </w:pPr>
    </w:p>
    <w:p w14:paraId="6FA03704">
      <w:pPr>
        <w:ind w:firstLine="562"/>
        <w:jc w:val="center"/>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rPr>
        <w:t>投标人简介</w:t>
      </w:r>
    </w:p>
    <w:p w14:paraId="3F8F82AC">
      <w:pPr>
        <w:ind w:firstLine="562"/>
        <w:jc w:val="center"/>
        <w:rPr>
          <w:rFonts w:asciiTheme="minorEastAsia" w:hAnsiTheme="minorEastAsia" w:eastAsiaTheme="minorEastAsia"/>
          <w:color w:val="auto"/>
          <w:sz w:val="24"/>
          <w:szCs w:val="24"/>
          <w:highlight w:val="none"/>
          <w:lang w:val="en-GB"/>
        </w:rPr>
      </w:pPr>
      <w:r>
        <w:rPr>
          <w:rFonts w:hint="eastAsia" w:asciiTheme="minorEastAsia" w:hAnsiTheme="minorEastAsia" w:eastAsiaTheme="minorEastAsia"/>
          <w:color w:val="auto"/>
          <w:sz w:val="24"/>
          <w:szCs w:val="24"/>
          <w:highlight w:val="none"/>
          <w:lang w:val="en-GB"/>
        </w:rPr>
        <w:t>（格式自定义）</w:t>
      </w:r>
    </w:p>
    <w:p w14:paraId="1F4CBFA8">
      <w:pPr>
        <w:ind w:firstLine="562"/>
        <w:jc w:val="center"/>
        <w:rPr>
          <w:rFonts w:asciiTheme="minorEastAsia" w:hAnsiTheme="minorEastAsia" w:eastAsiaTheme="minorEastAsia"/>
          <w:color w:val="auto"/>
          <w:sz w:val="24"/>
          <w:szCs w:val="24"/>
          <w:highlight w:val="none"/>
          <w:lang w:val="en-GB"/>
        </w:rPr>
      </w:pPr>
    </w:p>
    <w:p w14:paraId="719746E1">
      <w:pPr>
        <w:pStyle w:val="102"/>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投标人应以文字形式简要介绍企业概况。</w:t>
      </w:r>
    </w:p>
    <w:p w14:paraId="5E90A9EC">
      <w:pPr>
        <w:spacing w:line="460" w:lineRule="exact"/>
        <w:rPr>
          <w:rFonts w:asciiTheme="minorEastAsia" w:hAnsiTheme="minorEastAsia" w:eastAsiaTheme="minorEastAsia"/>
          <w:color w:val="auto"/>
          <w:sz w:val="28"/>
          <w:szCs w:val="28"/>
          <w:highlight w:val="none"/>
        </w:rPr>
      </w:pPr>
    </w:p>
    <w:p w14:paraId="454075C4">
      <w:pPr>
        <w:spacing w:line="460" w:lineRule="exact"/>
        <w:rPr>
          <w:rFonts w:asciiTheme="minorEastAsia" w:hAnsiTheme="minorEastAsia" w:eastAsiaTheme="minorEastAsia"/>
          <w:color w:val="auto"/>
          <w:sz w:val="28"/>
          <w:szCs w:val="28"/>
          <w:highlight w:val="none"/>
        </w:rPr>
      </w:pPr>
    </w:p>
    <w:p w14:paraId="4FCE060C">
      <w:pPr>
        <w:spacing w:line="460" w:lineRule="exact"/>
        <w:rPr>
          <w:rFonts w:asciiTheme="minorEastAsia" w:hAnsiTheme="minorEastAsia" w:eastAsiaTheme="minorEastAsia"/>
          <w:color w:val="auto"/>
          <w:sz w:val="28"/>
          <w:szCs w:val="28"/>
          <w:highlight w:val="none"/>
        </w:rPr>
      </w:pPr>
    </w:p>
    <w:p w14:paraId="76F1B77D">
      <w:pPr>
        <w:spacing w:line="460" w:lineRule="exact"/>
        <w:rPr>
          <w:rFonts w:asciiTheme="minorEastAsia" w:hAnsiTheme="minorEastAsia" w:eastAsiaTheme="minorEastAsia"/>
          <w:color w:val="auto"/>
          <w:sz w:val="28"/>
          <w:szCs w:val="28"/>
          <w:highlight w:val="none"/>
        </w:rPr>
      </w:pPr>
    </w:p>
    <w:p w14:paraId="59B24BDE">
      <w:pPr>
        <w:spacing w:line="460" w:lineRule="exact"/>
        <w:rPr>
          <w:rFonts w:asciiTheme="minorEastAsia" w:hAnsiTheme="minorEastAsia" w:eastAsiaTheme="minorEastAsia"/>
          <w:color w:val="auto"/>
          <w:sz w:val="28"/>
          <w:szCs w:val="28"/>
          <w:highlight w:val="none"/>
        </w:rPr>
      </w:pPr>
    </w:p>
    <w:p w14:paraId="6EC63CCE">
      <w:pPr>
        <w:spacing w:line="460" w:lineRule="exact"/>
        <w:rPr>
          <w:rFonts w:asciiTheme="minorEastAsia" w:hAnsiTheme="minorEastAsia" w:eastAsiaTheme="minorEastAsia"/>
          <w:color w:val="auto"/>
          <w:sz w:val="28"/>
          <w:szCs w:val="28"/>
          <w:highlight w:val="none"/>
        </w:rPr>
      </w:pPr>
    </w:p>
    <w:p w14:paraId="0D5EA03B">
      <w:pPr>
        <w:spacing w:line="460" w:lineRule="exact"/>
        <w:rPr>
          <w:rFonts w:asciiTheme="minorEastAsia" w:hAnsiTheme="minorEastAsia" w:eastAsiaTheme="minorEastAsia"/>
          <w:color w:val="auto"/>
          <w:sz w:val="28"/>
          <w:szCs w:val="28"/>
          <w:highlight w:val="none"/>
        </w:rPr>
      </w:pPr>
    </w:p>
    <w:p w14:paraId="0D5ADEA2">
      <w:pPr>
        <w:pStyle w:val="102"/>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 xml:space="preserve">                        投标人名称：        （ 公章）</w:t>
      </w:r>
    </w:p>
    <w:p w14:paraId="15220374">
      <w:pPr>
        <w:pStyle w:val="102"/>
        <w:spacing w:line="360" w:lineRule="auto"/>
        <w:ind w:firstLine="720" w:firstLineChars="3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 xml:space="preserve">                       日期：</w:t>
      </w:r>
    </w:p>
    <w:p w14:paraId="0D2F6666">
      <w:pPr>
        <w:spacing w:line="460" w:lineRule="exact"/>
        <w:rPr>
          <w:rFonts w:asciiTheme="minorEastAsia" w:hAnsiTheme="minorEastAsia" w:eastAsiaTheme="minorEastAsia"/>
          <w:b/>
          <w:color w:val="auto"/>
          <w:sz w:val="28"/>
          <w:szCs w:val="28"/>
          <w:highlight w:val="none"/>
        </w:rPr>
      </w:pPr>
    </w:p>
    <w:p w14:paraId="02782D56">
      <w:pPr>
        <w:spacing w:line="460" w:lineRule="exact"/>
        <w:rPr>
          <w:rFonts w:asciiTheme="minorEastAsia" w:hAnsiTheme="minorEastAsia" w:eastAsiaTheme="minorEastAsia"/>
          <w:b/>
          <w:color w:val="auto"/>
          <w:sz w:val="28"/>
          <w:szCs w:val="28"/>
          <w:highlight w:val="none"/>
        </w:rPr>
      </w:pPr>
    </w:p>
    <w:p w14:paraId="1EEDA836">
      <w:pPr>
        <w:spacing w:line="460" w:lineRule="exact"/>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br w:type="page"/>
      </w:r>
      <w:r>
        <w:rPr>
          <w:rFonts w:hint="eastAsia" w:asciiTheme="minorEastAsia" w:hAnsiTheme="minorEastAsia" w:eastAsiaTheme="minorEastAsia"/>
          <w:b/>
          <w:color w:val="auto"/>
          <w:sz w:val="24"/>
          <w:szCs w:val="24"/>
          <w:highlight w:val="none"/>
        </w:rPr>
        <w:t>附件14-</w:t>
      </w:r>
      <w:r>
        <w:rPr>
          <w:rFonts w:hint="eastAsia" w:asciiTheme="minorEastAsia" w:hAnsiTheme="minorEastAsia" w:eastAsiaTheme="minorEastAsia"/>
          <w:b/>
          <w:color w:val="auto"/>
          <w:sz w:val="24"/>
          <w:szCs w:val="24"/>
          <w:highlight w:val="none"/>
          <w:lang w:val="en-GB"/>
        </w:rPr>
        <w:t>2：</w:t>
      </w:r>
    </w:p>
    <w:p w14:paraId="0ADEDA48">
      <w:pPr>
        <w:ind w:firstLine="562"/>
        <w:jc w:val="center"/>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rPr>
        <w:t>投标人业绩表</w:t>
      </w:r>
    </w:p>
    <w:p w14:paraId="53470BF3">
      <w:pPr>
        <w:ind w:firstLine="562"/>
        <w:rPr>
          <w:rFonts w:asciiTheme="minorEastAsia" w:hAnsiTheme="minorEastAsia" w:eastAsiaTheme="minorEastAsia"/>
          <w:b/>
          <w:color w:val="auto"/>
          <w:sz w:val="28"/>
          <w:szCs w:val="28"/>
          <w:highlight w:val="none"/>
          <w:lang w:val="en-GB"/>
        </w:rPr>
      </w:pPr>
      <w:r>
        <w:rPr>
          <w:rFonts w:hint="eastAsia" w:asciiTheme="minorEastAsia" w:hAnsiTheme="minorEastAsia" w:eastAsiaTheme="minorEastAsia"/>
          <w:b/>
          <w:color w:val="auto"/>
          <w:sz w:val="28"/>
          <w:szCs w:val="28"/>
          <w:highlight w:val="none"/>
          <w:lang w:val="en-GB"/>
        </w:rPr>
        <w:t>投标人名称：</w:t>
      </w:r>
    </w:p>
    <w:tbl>
      <w:tblPr>
        <w:tblStyle w:val="41"/>
        <w:tblW w:w="4997" w:type="pct"/>
        <w:jc w:val="center"/>
        <w:tblLayout w:type="autofit"/>
        <w:tblCellMar>
          <w:top w:w="0" w:type="dxa"/>
          <w:left w:w="108" w:type="dxa"/>
          <w:bottom w:w="0" w:type="dxa"/>
          <w:right w:w="108" w:type="dxa"/>
        </w:tblCellMar>
      </w:tblPr>
      <w:tblGrid>
        <w:gridCol w:w="839"/>
        <w:gridCol w:w="1874"/>
        <w:gridCol w:w="1881"/>
        <w:gridCol w:w="1435"/>
        <w:gridCol w:w="1881"/>
        <w:gridCol w:w="1712"/>
      </w:tblGrid>
      <w:tr w14:paraId="56E2C38B">
        <w:tblPrEx>
          <w:tblCellMar>
            <w:top w:w="0" w:type="dxa"/>
            <w:left w:w="108" w:type="dxa"/>
            <w:bottom w:w="0" w:type="dxa"/>
            <w:right w:w="108" w:type="dxa"/>
          </w:tblCellMar>
        </w:tblPrEx>
        <w:trPr>
          <w:trHeight w:val="882" w:hRule="atLeast"/>
          <w:jc w:val="center"/>
        </w:trPr>
        <w:tc>
          <w:tcPr>
            <w:tcW w:w="436" w:type="pct"/>
            <w:tcBorders>
              <w:top w:val="single" w:color="auto" w:sz="4" w:space="0"/>
              <w:left w:val="single" w:color="auto" w:sz="4" w:space="0"/>
              <w:bottom w:val="single" w:color="auto" w:sz="4" w:space="0"/>
              <w:right w:val="single" w:color="auto" w:sz="4" w:space="0"/>
            </w:tcBorders>
            <w:vAlign w:val="center"/>
          </w:tcPr>
          <w:p w14:paraId="4C56281E">
            <w:pPr>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序号</w:t>
            </w:r>
          </w:p>
        </w:tc>
        <w:tc>
          <w:tcPr>
            <w:tcW w:w="973" w:type="pct"/>
            <w:tcBorders>
              <w:top w:val="single" w:color="auto" w:sz="4" w:space="0"/>
              <w:left w:val="nil"/>
              <w:bottom w:val="single" w:color="auto" w:sz="4" w:space="0"/>
              <w:right w:val="single" w:color="auto" w:sz="4" w:space="0"/>
            </w:tcBorders>
            <w:vAlign w:val="center"/>
          </w:tcPr>
          <w:p w14:paraId="41C51B22">
            <w:pPr>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委托方名称</w:t>
            </w:r>
          </w:p>
        </w:tc>
        <w:tc>
          <w:tcPr>
            <w:tcW w:w="977" w:type="pct"/>
            <w:tcBorders>
              <w:top w:val="single" w:color="auto" w:sz="4" w:space="0"/>
              <w:left w:val="nil"/>
              <w:bottom w:val="single" w:color="auto" w:sz="4" w:space="0"/>
              <w:right w:val="single" w:color="auto" w:sz="4" w:space="0"/>
            </w:tcBorders>
            <w:vAlign w:val="center"/>
          </w:tcPr>
          <w:p w14:paraId="3511A072">
            <w:pPr>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项目内容</w:t>
            </w:r>
          </w:p>
        </w:tc>
        <w:tc>
          <w:tcPr>
            <w:tcW w:w="745" w:type="pct"/>
            <w:tcBorders>
              <w:top w:val="single" w:color="auto" w:sz="4" w:space="0"/>
              <w:left w:val="nil"/>
              <w:bottom w:val="single" w:color="auto" w:sz="4" w:space="0"/>
              <w:right w:val="single" w:color="auto" w:sz="4" w:space="0"/>
            </w:tcBorders>
            <w:vAlign w:val="center"/>
          </w:tcPr>
          <w:p w14:paraId="2FB44591">
            <w:pPr>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完成时间</w:t>
            </w:r>
          </w:p>
        </w:tc>
        <w:tc>
          <w:tcPr>
            <w:tcW w:w="977" w:type="pct"/>
            <w:tcBorders>
              <w:top w:val="single" w:color="auto" w:sz="4" w:space="0"/>
              <w:left w:val="nil"/>
              <w:bottom w:val="single" w:color="auto" w:sz="4" w:space="0"/>
              <w:right w:val="single" w:color="auto" w:sz="4" w:space="0"/>
            </w:tcBorders>
            <w:vAlign w:val="center"/>
          </w:tcPr>
          <w:p w14:paraId="0337679A">
            <w:pPr>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合同金额</w:t>
            </w:r>
          </w:p>
          <w:p w14:paraId="1439B44E">
            <w:pPr>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（万元）</w:t>
            </w:r>
          </w:p>
        </w:tc>
        <w:tc>
          <w:tcPr>
            <w:tcW w:w="889" w:type="pct"/>
            <w:tcBorders>
              <w:top w:val="single" w:color="auto" w:sz="4" w:space="0"/>
              <w:left w:val="nil"/>
              <w:bottom w:val="single" w:color="auto" w:sz="4" w:space="0"/>
              <w:right w:val="single" w:color="auto" w:sz="4" w:space="0"/>
            </w:tcBorders>
            <w:vAlign w:val="center"/>
          </w:tcPr>
          <w:p w14:paraId="5A4A9D00">
            <w:pPr>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附件所在页码</w:t>
            </w:r>
          </w:p>
        </w:tc>
      </w:tr>
      <w:tr w14:paraId="5C3B3DDA">
        <w:tblPrEx>
          <w:tblCellMar>
            <w:top w:w="0" w:type="dxa"/>
            <w:left w:w="108" w:type="dxa"/>
            <w:bottom w:w="0" w:type="dxa"/>
            <w:right w:w="108" w:type="dxa"/>
          </w:tblCellMar>
        </w:tblPrEx>
        <w:trPr>
          <w:trHeight w:val="535" w:hRule="atLeast"/>
          <w:jc w:val="center"/>
        </w:trPr>
        <w:tc>
          <w:tcPr>
            <w:tcW w:w="436" w:type="pct"/>
            <w:tcBorders>
              <w:top w:val="nil"/>
              <w:left w:val="single" w:color="auto" w:sz="4" w:space="0"/>
              <w:bottom w:val="single" w:color="auto" w:sz="4" w:space="0"/>
              <w:right w:val="single" w:color="auto" w:sz="4" w:space="0"/>
            </w:tcBorders>
            <w:vAlign w:val="center"/>
          </w:tcPr>
          <w:p w14:paraId="2D1738FE">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1</w:t>
            </w:r>
          </w:p>
        </w:tc>
        <w:tc>
          <w:tcPr>
            <w:tcW w:w="973" w:type="pct"/>
            <w:tcBorders>
              <w:top w:val="nil"/>
              <w:left w:val="nil"/>
              <w:bottom w:val="single" w:color="auto" w:sz="4" w:space="0"/>
              <w:right w:val="single" w:color="auto" w:sz="4" w:space="0"/>
            </w:tcBorders>
            <w:vAlign w:val="center"/>
          </w:tcPr>
          <w:p w14:paraId="62E56249">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01A7C11F">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6A7127FF">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0875AC7B">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7ED71E31">
            <w:pPr>
              <w:jc w:val="center"/>
              <w:rPr>
                <w:rFonts w:asciiTheme="minorEastAsia" w:hAnsiTheme="minorEastAsia" w:eastAsiaTheme="minorEastAsia"/>
                <w:color w:val="auto"/>
                <w:sz w:val="24"/>
                <w:szCs w:val="24"/>
                <w:highlight w:val="none"/>
              </w:rPr>
            </w:pPr>
          </w:p>
        </w:tc>
      </w:tr>
      <w:tr w14:paraId="397A43C2">
        <w:trPr>
          <w:trHeight w:val="560" w:hRule="atLeast"/>
          <w:jc w:val="center"/>
        </w:trPr>
        <w:tc>
          <w:tcPr>
            <w:tcW w:w="436" w:type="pct"/>
            <w:tcBorders>
              <w:top w:val="nil"/>
              <w:left w:val="single" w:color="auto" w:sz="4" w:space="0"/>
              <w:bottom w:val="single" w:color="auto" w:sz="4" w:space="0"/>
              <w:right w:val="single" w:color="auto" w:sz="4" w:space="0"/>
            </w:tcBorders>
            <w:vAlign w:val="center"/>
          </w:tcPr>
          <w:p w14:paraId="740B6181">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2</w:t>
            </w:r>
          </w:p>
        </w:tc>
        <w:tc>
          <w:tcPr>
            <w:tcW w:w="973" w:type="pct"/>
            <w:tcBorders>
              <w:top w:val="nil"/>
              <w:left w:val="nil"/>
              <w:bottom w:val="single" w:color="auto" w:sz="4" w:space="0"/>
              <w:right w:val="single" w:color="auto" w:sz="4" w:space="0"/>
            </w:tcBorders>
            <w:vAlign w:val="center"/>
          </w:tcPr>
          <w:p w14:paraId="0F3677FD">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3FA7EEF2">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63BA7193">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385C35B7">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1318B77A">
            <w:pPr>
              <w:jc w:val="center"/>
              <w:rPr>
                <w:rFonts w:asciiTheme="minorEastAsia" w:hAnsiTheme="minorEastAsia" w:eastAsiaTheme="minorEastAsia"/>
                <w:color w:val="auto"/>
                <w:sz w:val="24"/>
                <w:szCs w:val="24"/>
                <w:highlight w:val="none"/>
              </w:rPr>
            </w:pPr>
          </w:p>
        </w:tc>
      </w:tr>
      <w:tr w14:paraId="533209C7">
        <w:tblPrEx>
          <w:tblCellMar>
            <w:top w:w="0" w:type="dxa"/>
            <w:left w:w="108" w:type="dxa"/>
            <w:bottom w:w="0" w:type="dxa"/>
            <w:right w:w="108" w:type="dxa"/>
          </w:tblCellMar>
        </w:tblPrEx>
        <w:trPr>
          <w:trHeight w:val="507" w:hRule="atLeast"/>
          <w:jc w:val="center"/>
        </w:trPr>
        <w:tc>
          <w:tcPr>
            <w:tcW w:w="436" w:type="pct"/>
            <w:tcBorders>
              <w:top w:val="nil"/>
              <w:left w:val="single" w:color="auto" w:sz="4" w:space="0"/>
              <w:bottom w:val="single" w:color="auto" w:sz="4" w:space="0"/>
              <w:right w:val="single" w:color="auto" w:sz="4" w:space="0"/>
            </w:tcBorders>
            <w:vAlign w:val="center"/>
          </w:tcPr>
          <w:p w14:paraId="2C97E4B2">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3</w:t>
            </w:r>
          </w:p>
        </w:tc>
        <w:tc>
          <w:tcPr>
            <w:tcW w:w="973" w:type="pct"/>
            <w:tcBorders>
              <w:top w:val="nil"/>
              <w:left w:val="nil"/>
              <w:bottom w:val="single" w:color="auto" w:sz="4" w:space="0"/>
              <w:right w:val="single" w:color="auto" w:sz="4" w:space="0"/>
            </w:tcBorders>
            <w:vAlign w:val="center"/>
          </w:tcPr>
          <w:p w14:paraId="7DEE99AB">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282C4AED">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4C6E76E3">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315B56CE">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1A6279DF">
            <w:pPr>
              <w:jc w:val="center"/>
              <w:rPr>
                <w:rFonts w:asciiTheme="minorEastAsia" w:hAnsiTheme="minorEastAsia" w:eastAsiaTheme="minorEastAsia"/>
                <w:color w:val="auto"/>
                <w:sz w:val="24"/>
                <w:szCs w:val="24"/>
                <w:highlight w:val="none"/>
              </w:rPr>
            </w:pPr>
          </w:p>
        </w:tc>
      </w:tr>
      <w:tr w14:paraId="6F5D8A27">
        <w:tblPrEx>
          <w:tblCellMar>
            <w:top w:w="0" w:type="dxa"/>
            <w:left w:w="108" w:type="dxa"/>
            <w:bottom w:w="0" w:type="dxa"/>
            <w:right w:w="108" w:type="dxa"/>
          </w:tblCellMar>
        </w:tblPrEx>
        <w:trPr>
          <w:trHeight w:val="457" w:hRule="atLeast"/>
          <w:jc w:val="center"/>
        </w:trPr>
        <w:tc>
          <w:tcPr>
            <w:tcW w:w="436" w:type="pct"/>
            <w:tcBorders>
              <w:top w:val="nil"/>
              <w:left w:val="single" w:color="auto" w:sz="4" w:space="0"/>
              <w:bottom w:val="single" w:color="auto" w:sz="4" w:space="0"/>
              <w:right w:val="single" w:color="auto" w:sz="4" w:space="0"/>
            </w:tcBorders>
            <w:vAlign w:val="center"/>
          </w:tcPr>
          <w:p w14:paraId="2CCD9008">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4</w:t>
            </w:r>
          </w:p>
        </w:tc>
        <w:tc>
          <w:tcPr>
            <w:tcW w:w="973" w:type="pct"/>
            <w:tcBorders>
              <w:top w:val="nil"/>
              <w:left w:val="nil"/>
              <w:bottom w:val="single" w:color="auto" w:sz="4" w:space="0"/>
              <w:right w:val="single" w:color="auto" w:sz="4" w:space="0"/>
            </w:tcBorders>
            <w:vAlign w:val="center"/>
          </w:tcPr>
          <w:p w14:paraId="4C28345D">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66946296">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53880384">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79AD14AE">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33C029DD">
            <w:pPr>
              <w:jc w:val="center"/>
              <w:rPr>
                <w:rFonts w:asciiTheme="minorEastAsia" w:hAnsiTheme="minorEastAsia" w:eastAsiaTheme="minorEastAsia"/>
                <w:color w:val="auto"/>
                <w:sz w:val="24"/>
                <w:szCs w:val="24"/>
                <w:highlight w:val="none"/>
              </w:rPr>
            </w:pPr>
          </w:p>
        </w:tc>
      </w:tr>
      <w:tr w14:paraId="6AFE60D8">
        <w:tblPrEx>
          <w:tblCellMar>
            <w:top w:w="0" w:type="dxa"/>
            <w:left w:w="108" w:type="dxa"/>
            <w:bottom w:w="0" w:type="dxa"/>
            <w:right w:w="108" w:type="dxa"/>
          </w:tblCellMar>
        </w:tblPrEx>
        <w:trPr>
          <w:trHeight w:val="448" w:hRule="atLeast"/>
          <w:jc w:val="center"/>
        </w:trPr>
        <w:tc>
          <w:tcPr>
            <w:tcW w:w="436" w:type="pct"/>
            <w:tcBorders>
              <w:top w:val="nil"/>
              <w:left w:val="single" w:color="auto" w:sz="4" w:space="0"/>
              <w:bottom w:val="single" w:color="auto" w:sz="4" w:space="0"/>
              <w:right w:val="single" w:color="auto" w:sz="4" w:space="0"/>
            </w:tcBorders>
            <w:vAlign w:val="center"/>
          </w:tcPr>
          <w:p w14:paraId="545DBF23">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5</w:t>
            </w:r>
          </w:p>
        </w:tc>
        <w:tc>
          <w:tcPr>
            <w:tcW w:w="973" w:type="pct"/>
            <w:tcBorders>
              <w:top w:val="nil"/>
              <w:left w:val="nil"/>
              <w:bottom w:val="single" w:color="auto" w:sz="4" w:space="0"/>
              <w:right w:val="single" w:color="auto" w:sz="4" w:space="0"/>
            </w:tcBorders>
            <w:vAlign w:val="center"/>
          </w:tcPr>
          <w:p w14:paraId="12E4703C">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50E02EB0">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370A8636">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70C2224D">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68992AE4">
            <w:pPr>
              <w:jc w:val="center"/>
              <w:rPr>
                <w:rFonts w:asciiTheme="minorEastAsia" w:hAnsiTheme="minorEastAsia" w:eastAsiaTheme="minorEastAsia"/>
                <w:color w:val="auto"/>
                <w:sz w:val="24"/>
                <w:szCs w:val="24"/>
                <w:highlight w:val="none"/>
              </w:rPr>
            </w:pPr>
          </w:p>
        </w:tc>
      </w:tr>
      <w:tr w14:paraId="7DE3A1E1">
        <w:tblPrEx>
          <w:tblCellMar>
            <w:top w:w="0" w:type="dxa"/>
            <w:left w:w="108" w:type="dxa"/>
            <w:bottom w:w="0" w:type="dxa"/>
            <w:right w:w="108" w:type="dxa"/>
          </w:tblCellMar>
        </w:tblPrEx>
        <w:trPr>
          <w:trHeight w:val="454" w:hRule="atLeast"/>
          <w:jc w:val="center"/>
        </w:trPr>
        <w:tc>
          <w:tcPr>
            <w:tcW w:w="436" w:type="pct"/>
            <w:tcBorders>
              <w:top w:val="nil"/>
              <w:left w:val="single" w:color="auto" w:sz="4" w:space="0"/>
              <w:bottom w:val="single" w:color="auto" w:sz="4" w:space="0"/>
              <w:right w:val="single" w:color="auto" w:sz="4" w:space="0"/>
            </w:tcBorders>
            <w:vAlign w:val="center"/>
          </w:tcPr>
          <w:p w14:paraId="66BCDC40">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6</w:t>
            </w:r>
          </w:p>
        </w:tc>
        <w:tc>
          <w:tcPr>
            <w:tcW w:w="973" w:type="pct"/>
            <w:tcBorders>
              <w:top w:val="nil"/>
              <w:left w:val="nil"/>
              <w:bottom w:val="single" w:color="auto" w:sz="4" w:space="0"/>
              <w:right w:val="single" w:color="auto" w:sz="4" w:space="0"/>
            </w:tcBorders>
            <w:vAlign w:val="center"/>
          </w:tcPr>
          <w:p w14:paraId="50E2E018">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4B550268">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78A08BB6">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617F2894">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0118FDC9">
            <w:pPr>
              <w:jc w:val="center"/>
              <w:rPr>
                <w:rFonts w:asciiTheme="minorEastAsia" w:hAnsiTheme="minorEastAsia" w:eastAsiaTheme="minorEastAsia"/>
                <w:color w:val="auto"/>
                <w:sz w:val="24"/>
                <w:szCs w:val="24"/>
                <w:highlight w:val="none"/>
              </w:rPr>
            </w:pPr>
          </w:p>
        </w:tc>
      </w:tr>
      <w:tr w14:paraId="7DD1F8F1">
        <w:tblPrEx>
          <w:tblCellMar>
            <w:top w:w="0" w:type="dxa"/>
            <w:left w:w="108" w:type="dxa"/>
            <w:bottom w:w="0" w:type="dxa"/>
            <w:right w:w="108" w:type="dxa"/>
          </w:tblCellMar>
        </w:tblPrEx>
        <w:trPr>
          <w:trHeight w:val="460" w:hRule="atLeast"/>
          <w:jc w:val="center"/>
        </w:trPr>
        <w:tc>
          <w:tcPr>
            <w:tcW w:w="436" w:type="pct"/>
            <w:tcBorders>
              <w:top w:val="nil"/>
              <w:left w:val="single" w:color="auto" w:sz="4" w:space="0"/>
              <w:bottom w:val="single" w:color="auto" w:sz="4" w:space="0"/>
              <w:right w:val="single" w:color="auto" w:sz="4" w:space="0"/>
            </w:tcBorders>
            <w:vAlign w:val="center"/>
          </w:tcPr>
          <w:p w14:paraId="312CC8A0">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7</w:t>
            </w:r>
          </w:p>
        </w:tc>
        <w:tc>
          <w:tcPr>
            <w:tcW w:w="973" w:type="pct"/>
            <w:tcBorders>
              <w:top w:val="nil"/>
              <w:left w:val="nil"/>
              <w:bottom w:val="single" w:color="auto" w:sz="4" w:space="0"/>
              <w:right w:val="single" w:color="auto" w:sz="4" w:space="0"/>
            </w:tcBorders>
            <w:vAlign w:val="center"/>
          </w:tcPr>
          <w:p w14:paraId="13E8404D">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485E4F28">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2AFBAD1B">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714F0C94">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246901B5">
            <w:pPr>
              <w:jc w:val="center"/>
              <w:rPr>
                <w:rFonts w:asciiTheme="minorEastAsia" w:hAnsiTheme="minorEastAsia" w:eastAsiaTheme="minorEastAsia"/>
                <w:color w:val="auto"/>
                <w:sz w:val="24"/>
                <w:szCs w:val="24"/>
                <w:highlight w:val="none"/>
              </w:rPr>
            </w:pPr>
          </w:p>
        </w:tc>
      </w:tr>
      <w:tr w14:paraId="1B3811C2">
        <w:tblPrEx>
          <w:tblCellMar>
            <w:top w:w="0" w:type="dxa"/>
            <w:left w:w="108" w:type="dxa"/>
            <w:bottom w:w="0" w:type="dxa"/>
            <w:right w:w="108" w:type="dxa"/>
          </w:tblCellMar>
        </w:tblPrEx>
        <w:trPr>
          <w:trHeight w:val="467" w:hRule="atLeast"/>
          <w:jc w:val="center"/>
        </w:trPr>
        <w:tc>
          <w:tcPr>
            <w:tcW w:w="436" w:type="pct"/>
            <w:tcBorders>
              <w:top w:val="nil"/>
              <w:left w:val="single" w:color="auto" w:sz="4" w:space="0"/>
              <w:bottom w:val="single" w:color="auto" w:sz="4" w:space="0"/>
              <w:right w:val="single" w:color="auto" w:sz="4" w:space="0"/>
            </w:tcBorders>
            <w:vAlign w:val="center"/>
          </w:tcPr>
          <w:p w14:paraId="29EB6A19">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8</w:t>
            </w:r>
          </w:p>
        </w:tc>
        <w:tc>
          <w:tcPr>
            <w:tcW w:w="973" w:type="pct"/>
            <w:tcBorders>
              <w:top w:val="nil"/>
              <w:left w:val="nil"/>
              <w:bottom w:val="single" w:color="auto" w:sz="4" w:space="0"/>
              <w:right w:val="single" w:color="auto" w:sz="4" w:space="0"/>
            </w:tcBorders>
            <w:vAlign w:val="center"/>
          </w:tcPr>
          <w:p w14:paraId="430EFE26">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6D7E2AA4">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29D1FD91">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4806A8ED">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78B1044F">
            <w:pPr>
              <w:jc w:val="center"/>
              <w:rPr>
                <w:rFonts w:asciiTheme="minorEastAsia" w:hAnsiTheme="minorEastAsia" w:eastAsiaTheme="minorEastAsia"/>
                <w:color w:val="auto"/>
                <w:sz w:val="24"/>
                <w:szCs w:val="24"/>
                <w:highlight w:val="none"/>
              </w:rPr>
            </w:pPr>
          </w:p>
        </w:tc>
      </w:tr>
      <w:tr w14:paraId="62185F5E">
        <w:tblPrEx>
          <w:tblCellMar>
            <w:top w:w="0" w:type="dxa"/>
            <w:left w:w="108" w:type="dxa"/>
            <w:bottom w:w="0" w:type="dxa"/>
            <w:right w:w="108" w:type="dxa"/>
          </w:tblCellMar>
        </w:tblPrEx>
        <w:trPr>
          <w:trHeight w:val="601" w:hRule="atLeast"/>
          <w:jc w:val="center"/>
        </w:trPr>
        <w:tc>
          <w:tcPr>
            <w:tcW w:w="436" w:type="pct"/>
            <w:tcBorders>
              <w:top w:val="nil"/>
              <w:left w:val="single" w:color="auto" w:sz="4" w:space="0"/>
              <w:bottom w:val="single" w:color="auto" w:sz="4" w:space="0"/>
              <w:right w:val="single" w:color="auto" w:sz="4" w:space="0"/>
            </w:tcBorders>
            <w:vAlign w:val="center"/>
          </w:tcPr>
          <w:p w14:paraId="60057506">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9</w:t>
            </w:r>
          </w:p>
        </w:tc>
        <w:tc>
          <w:tcPr>
            <w:tcW w:w="973" w:type="pct"/>
            <w:tcBorders>
              <w:top w:val="nil"/>
              <w:left w:val="nil"/>
              <w:bottom w:val="single" w:color="auto" w:sz="4" w:space="0"/>
              <w:right w:val="single" w:color="auto" w:sz="4" w:space="0"/>
            </w:tcBorders>
            <w:vAlign w:val="center"/>
          </w:tcPr>
          <w:p w14:paraId="48B57F1C">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5EFA734F">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063C6F8D">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493276E1">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4B948136">
            <w:pPr>
              <w:jc w:val="center"/>
              <w:rPr>
                <w:rFonts w:asciiTheme="minorEastAsia" w:hAnsiTheme="minorEastAsia" w:eastAsiaTheme="minorEastAsia"/>
                <w:color w:val="auto"/>
                <w:sz w:val="24"/>
                <w:szCs w:val="24"/>
                <w:highlight w:val="none"/>
              </w:rPr>
            </w:pPr>
          </w:p>
        </w:tc>
      </w:tr>
      <w:tr w14:paraId="31BD78AE">
        <w:tblPrEx>
          <w:tblCellMar>
            <w:top w:w="0" w:type="dxa"/>
            <w:left w:w="108" w:type="dxa"/>
            <w:bottom w:w="0" w:type="dxa"/>
            <w:right w:w="108" w:type="dxa"/>
          </w:tblCellMar>
        </w:tblPrEx>
        <w:trPr>
          <w:trHeight w:val="601" w:hRule="atLeast"/>
          <w:jc w:val="center"/>
        </w:trPr>
        <w:tc>
          <w:tcPr>
            <w:tcW w:w="436" w:type="pct"/>
            <w:tcBorders>
              <w:top w:val="nil"/>
              <w:left w:val="single" w:color="auto" w:sz="4" w:space="0"/>
              <w:bottom w:val="single" w:color="auto" w:sz="4" w:space="0"/>
              <w:right w:val="single" w:color="auto" w:sz="4" w:space="0"/>
            </w:tcBorders>
            <w:vAlign w:val="center"/>
          </w:tcPr>
          <w:p w14:paraId="41B7E2F9">
            <w:pPr>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10</w:t>
            </w:r>
          </w:p>
        </w:tc>
        <w:tc>
          <w:tcPr>
            <w:tcW w:w="973" w:type="pct"/>
            <w:tcBorders>
              <w:top w:val="nil"/>
              <w:left w:val="nil"/>
              <w:bottom w:val="single" w:color="auto" w:sz="4" w:space="0"/>
              <w:right w:val="single" w:color="auto" w:sz="4" w:space="0"/>
            </w:tcBorders>
            <w:vAlign w:val="center"/>
          </w:tcPr>
          <w:p w14:paraId="515C710E">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672358B0">
            <w:pPr>
              <w:jc w:val="center"/>
              <w:rPr>
                <w:rFonts w:asciiTheme="minorEastAsia" w:hAnsiTheme="minorEastAsia" w:eastAsiaTheme="minorEastAsia"/>
                <w:color w:val="auto"/>
                <w:sz w:val="24"/>
                <w:szCs w:val="24"/>
                <w:highlight w:val="none"/>
              </w:rPr>
            </w:pPr>
          </w:p>
        </w:tc>
        <w:tc>
          <w:tcPr>
            <w:tcW w:w="745" w:type="pct"/>
            <w:tcBorders>
              <w:top w:val="nil"/>
              <w:left w:val="nil"/>
              <w:bottom w:val="single" w:color="auto" w:sz="4" w:space="0"/>
              <w:right w:val="single" w:color="auto" w:sz="4" w:space="0"/>
            </w:tcBorders>
            <w:vAlign w:val="center"/>
          </w:tcPr>
          <w:p w14:paraId="5FEE615B">
            <w:pPr>
              <w:jc w:val="center"/>
              <w:rPr>
                <w:rFonts w:asciiTheme="minorEastAsia" w:hAnsiTheme="minorEastAsia" w:eastAsiaTheme="minorEastAsia"/>
                <w:color w:val="auto"/>
                <w:sz w:val="24"/>
                <w:szCs w:val="24"/>
                <w:highlight w:val="none"/>
              </w:rPr>
            </w:pPr>
          </w:p>
        </w:tc>
        <w:tc>
          <w:tcPr>
            <w:tcW w:w="977" w:type="pct"/>
            <w:tcBorders>
              <w:top w:val="nil"/>
              <w:left w:val="nil"/>
              <w:bottom w:val="single" w:color="auto" w:sz="4" w:space="0"/>
              <w:right w:val="single" w:color="auto" w:sz="4" w:space="0"/>
            </w:tcBorders>
            <w:vAlign w:val="center"/>
          </w:tcPr>
          <w:p w14:paraId="33DDCD2F">
            <w:pPr>
              <w:jc w:val="center"/>
              <w:rPr>
                <w:rFonts w:asciiTheme="minorEastAsia" w:hAnsiTheme="minorEastAsia" w:eastAsiaTheme="minorEastAsia"/>
                <w:color w:val="auto"/>
                <w:sz w:val="24"/>
                <w:szCs w:val="24"/>
                <w:highlight w:val="none"/>
              </w:rPr>
            </w:pPr>
          </w:p>
        </w:tc>
        <w:tc>
          <w:tcPr>
            <w:tcW w:w="889" w:type="pct"/>
            <w:tcBorders>
              <w:top w:val="nil"/>
              <w:left w:val="nil"/>
              <w:bottom w:val="single" w:color="auto" w:sz="4" w:space="0"/>
              <w:right w:val="single" w:color="auto" w:sz="4" w:space="0"/>
            </w:tcBorders>
            <w:vAlign w:val="center"/>
          </w:tcPr>
          <w:p w14:paraId="316A2224">
            <w:pPr>
              <w:jc w:val="center"/>
              <w:rPr>
                <w:rFonts w:asciiTheme="minorEastAsia" w:hAnsiTheme="minorEastAsia" w:eastAsiaTheme="minorEastAsia"/>
                <w:color w:val="auto"/>
                <w:sz w:val="24"/>
                <w:szCs w:val="24"/>
                <w:highlight w:val="none"/>
              </w:rPr>
            </w:pPr>
          </w:p>
        </w:tc>
      </w:tr>
    </w:tbl>
    <w:p w14:paraId="579C1BC6">
      <w:pPr>
        <w:spacing w:line="460" w:lineRule="exact"/>
        <w:ind w:left="480" w:leftChars="200" w:hanging="60" w:hangingChars="25"/>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注：投标人根据采购文件业绩部分评分标准仔细填写，提供有效的证明文件。</w:t>
      </w:r>
    </w:p>
    <w:p w14:paraId="1B64D25B">
      <w:pPr>
        <w:spacing w:line="460" w:lineRule="exact"/>
        <w:rPr>
          <w:rFonts w:asciiTheme="minorEastAsia" w:hAnsiTheme="minorEastAsia" w:eastAsiaTheme="minorEastAsia"/>
          <w:b/>
          <w:color w:val="auto"/>
          <w:sz w:val="28"/>
          <w:szCs w:val="28"/>
          <w:highlight w:val="none"/>
        </w:rPr>
      </w:pPr>
    </w:p>
    <w:p w14:paraId="44C527EF">
      <w:pPr>
        <w:spacing w:line="460" w:lineRule="exact"/>
        <w:rPr>
          <w:rFonts w:cs="宋体" w:asciiTheme="minorEastAsia" w:hAnsiTheme="minorEastAsia" w:eastAsiaTheme="minorEastAsia"/>
          <w:color w:val="auto"/>
          <w:highlight w:val="none"/>
          <w:u w:val="single"/>
        </w:rPr>
      </w:pPr>
    </w:p>
    <w:p w14:paraId="2DF88795">
      <w:pPr>
        <w:spacing w:line="460" w:lineRule="exact"/>
        <w:rPr>
          <w:rFonts w:cs="宋体" w:asciiTheme="minorEastAsia" w:hAnsiTheme="minorEastAsia" w:eastAsiaTheme="minorEastAsia"/>
          <w:color w:val="auto"/>
          <w:highlight w:val="none"/>
          <w:u w:val="single"/>
        </w:rPr>
      </w:pPr>
    </w:p>
    <w:p w14:paraId="5618659A">
      <w:pPr>
        <w:spacing w:line="460" w:lineRule="exact"/>
        <w:rPr>
          <w:rFonts w:cs="宋体" w:asciiTheme="minorEastAsia" w:hAnsiTheme="minorEastAsia" w:eastAsiaTheme="minorEastAsia"/>
          <w:color w:val="auto"/>
          <w:highlight w:val="none"/>
          <w:u w:val="single"/>
        </w:rPr>
      </w:pPr>
    </w:p>
    <w:p w14:paraId="3CB8565A">
      <w:pPr>
        <w:spacing w:line="460" w:lineRule="exact"/>
        <w:rPr>
          <w:rFonts w:asciiTheme="minorEastAsia" w:hAnsiTheme="minorEastAsia" w:eastAsiaTheme="minorEastAsia"/>
          <w:color w:val="auto"/>
          <w:sz w:val="28"/>
          <w:szCs w:val="28"/>
          <w:highlight w:val="none"/>
        </w:rPr>
      </w:pP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14:paraId="0C99ABB4">
      <w:pPr>
        <w:spacing w:line="460" w:lineRule="exact"/>
        <w:rPr>
          <w:rFonts w:asciiTheme="minorEastAsia" w:hAnsiTheme="minorEastAsia" w:eastAsiaTheme="minorEastAsia"/>
          <w:b/>
          <w:color w:val="auto"/>
          <w:sz w:val="24"/>
          <w:szCs w:val="24"/>
          <w:highlight w:val="none"/>
          <w:lang w:val="en-GB"/>
        </w:rPr>
      </w:pPr>
    </w:p>
    <w:p w14:paraId="205C1132">
      <w:pPr>
        <w:spacing w:line="460" w:lineRule="exact"/>
        <w:rPr>
          <w:rFonts w:asciiTheme="minorEastAsia" w:hAnsiTheme="minorEastAsia" w:eastAsiaTheme="minorEastAsia"/>
          <w:b/>
          <w:color w:val="auto"/>
          <w:sz w:val="24"/>
          <w:szCs w:val="24"/>
          <w:highlight w:val="none"/>
          <w:lang w:val="en-GB"/>
        </w:rPr>
      </w:pPr>
    </w:p>
    <w:p w14:paraId="7846B1D2">
      <w:pPr>
        <w:spacing w:line="460" w:lineRule="exact"/>
        <w:rPr>
          <w:rFonts w:asciiTheme="minorEastAsia" w:hAnsiTheme="minorEastAsia" w:eastAsiaTheme="minorEastAsia"/>
          <w:b/>
          <w:color w:val="auto"/>
          <w:sz w:val="24"/>
          <w:szCs w:val="24"/>
          <w:highlight w:val="none"/>
          <w:lang w:val="en-GB"/>
        </w:rPr>
      </w:pPr>
    </w:p>
    <w:p w14:paraId="3C50760F">
      <w:pPr>
        <w:spacing w:line="460" w:lineRule="exact"/>
        <w:rPr>
          <w:rFonts w:asciiTheme="minorEastAsia" w:hAnsiTheme="minorEastAsia" w:eastAsiaTheme="minorEastAsia"/>
          <w:b/>
          <w:color w:val="auto"/>
          <w:sz w:val="24"/>
          <w:szCs w:val="24"/>
          <w:highlight w:val="none"/>
          <w:lang w:val="en-GB"/>
        </w:rPr>
      </w:pPr>
    </w:p>
    <w:p w14:paraId="10C78A15">
      <w:pPr>
        <w:spacing w:line="460" w:lineRule="exact"/>
        <w:rPr>
          <w:rFonts w:asciiTheme="minorEastAsia" w:hAnsiTheme="minorEastAsia" w:eastAsiaTheme="minorEastAsia"/>
          <w:b/>
          <w:color w:val="auto"/>
          <w:sz w:val="24"/>
          <w:szCs w:val="24"/>
          <w:highlight w:val="none"/>
          <w:lang w:val="en-GB"/>
        </w:rPr>
      </w:pPr>
    </w:p>
    <w:p w14:paraId="3E81A020">
      <w:pPr>
        <w:spacing w:line="460" w:lineRule="exact"/>
        <w:rPr>
          <w:rFonts w:asciiTheme="minorEastAsia" w:hAnsiTheme="minorEastAsia" w:eastAsiaTheme="minorEastAsia"/>
          <w:b/>
          <w:color w:val="auto"/>
          <w:sz w:val="24"/>
          <w:szCs w:val="24"/>
          <w:highlight w:val="none"/>
          <w:lang w:val="en-GB"/>
        </w:rPr>
      </w:pPr>
    </w:p>
    <w:p w14:paraId="653D82C1">
      <w:pPr>
        <w:spacing w:line="460" w:lineRule="exact"/>
        <w:rPr>
          <w:rFonts w:asciiTheme="minorEastAsia" w:hAnsiTheme="minorEastAsia" w:eastAsiaTheme="minorEastAsia"/>
          <w:b/>
          <w:color w:val="auto"/>
          <w:sz w:val="24"/>
          <w:szCs w:val="24"/>
          <w:highlight w:val="none"/>
          <w:lang w:val="en-GB"/>
        </w:rPr>
      </w:pPr>
    </w:p>
    <w:p w14:paraId="22C31071">
      <w:pPr>
        <w:spacing w:line="460" w:lineRule="exact"/>
        <w:rPr>
          <w:rFonts w:asciiTheme="minorEastAsia" w:hAnsiTheme="minorEastAsia" w:eastAsiaTheme="minorEastAsia"/>
          <w:b/>
          <w:color w:val="auto"/>
          <w:sz w:val="24"/>
          <w:szCs w:val="24"/>
          <w:highlight w:val="none"/>
          <w:lang w:val="en-GB"/>
        </w:rPr>
      </w:pP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14:paraId="06E37100">
      <w:pPr>
        <w:tabs>
          <w:tab w:val="left" w:pos="1050"/>
          <w:tab w:val="left" w:pos="1838"/>
        </w:tabs>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sz w:val="24"/>
          <w:szCs w:val="24"/>
          <w:highlight w:val="none"/>
        </w:rPr>
        <w:t>附件15</w:t>
      </w:r>
      <w:r>
        <w:rPr>
          <w:rFonts w:hint="eastAsia" w:asciiTheme="minorEastAsia" w:hAnsiTheme="minorEastAsia" w:eastAsiaTheme="minorEastAsia"/>
          <w:b/>
          <w:color w:val="auto"/>
          <w:sz w:val="24"/>
          <w:szCs w:val="24"/>
          <w:highlight w:val="none"/>
          <w:lang w:val="en-GB"/>
        </w:rPr>
        <w:t>：</w:t>
      </w:r>
    </w:p>
    <w:p w14:paraId="6576B19F">
      <w:pPr>
        <w:spacing w:line="360" w:lineRule="auto"/>
        <w:jc w:val="center"/>
        <w:rPr>
          <w:rFonts w:hint="default" w:ascii="宋体" w:hAnsi="宋体" w:eastAsia="宋体"/>
          <w:b/>
          <w:bCs/>
          <w:color w:val="auto"/>
          <w:sz w:val="32"/>
          <w:szCs w:val="32"/>
          <w:highlight w:val="none"/>
          <w:lang w:val="en-US" w:eastAsia="zh-CN"/>
        </w:rPr>
      </w:pPr>
      <w:r>
        <w:rPr>
          <w:rFonts w:hint="eastAsia" w:ascii="宋体" w:hAnsi="宋体"/>
          <w:b/>
          <w:bCs/>
          <w:color w:val="auto"/>
          <w:sz w:val="32"/>
          <w:szCs w:val="32"/>
          <w:highlight w:val="none"/>
        </w:rPr>
        <w:t>技术</w:t>
      </w:r>
      <w:r>
        <w:rPr>
          <w:rFonts w:hint="eastAsia" w:ascii="宋体" w:hAnsi="宋体"/>
          <w:b/>
          <w:bCs/>
          <w:color w:val="auto"/>
          <w:sz w:val="32"/>
          <w:szCs w:val="32"/>
          <w:highlight w:val="none"/>
          <w:lang w:val="en-US" w:eastAsia="zh-CN"/>
        </w:rPr>
        <w:t>商务响应文件</w:t>
      </w:r>
    </w:p>
    <w:p w14:paraId="6060FD7D">
      <w:pPr>
        <w:spacing w:line="360" w:lineRule="auto"/>
        <w:rPr>
          <w:rFonts w:ascii="宋体" w:hAnsi="宋体"/>
          <w:color w:val="auto"/>
          <w:sz w:val="24"/>
          <w:szCs w:val="24"/>
          <w:highlight w:val="none"/>
        </w:rPr>
      </w:pPr>
    </w:p>
    <w:p w14:paraId="15FB768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投标人应对第一章《投标人须知》和第二章《</w:t>
      </w:r>
      <w:r>
        <w:rPr>
          <w:rFonts w:hint="eastAsia" w:ascii="宋体" w:hAnsi="宋体"/>
          <w:color w:val="auto"/>
          <w:sz w:val="24"/>
          <w:szCs w:val="24"/>
          <w:highlight w:val="none"/>
          <w:lang w:eastAsia="zh-CN"/>
        </w:rPr>
        <w:t>招标人需求</w:t>
      </w:r>
      <w:r>
        <w:rPr>
          <w:rFonts w:hint="eastAsia" w:ascii="宋体" w:hAnsi="宋体"/>
          <w:color w:val="auto"/>
          <w:sz w:val="24"/>
          <w:szCs w:val="24"/>
          <w:highlight w:val="none"/>
        </w:rPr>
        <w:t>》要求的内容、方式和时间作出一个详细的工作方案，方案内容应包含但不限于上述两章的内容。</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780"/>
        <w:gridCol w:w="2550"/>
        <w:gridCol w:w="2076"/>
      </w:tblGrid>
      <w:tr w14:paraId="1BA2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080" w:type="dxa"/>
            <w:noWrap w:val="0"/>
            <w:vAlign w:val="top"/>
          </w:tcPr>
          <w:p w14:paraId="5D5D701C">
            <w:pPr>
              <w:jc w:val="center"/>
              <w:rPr>
                <w:rFonts w:hint="eastAsia" w:hAnsi="宋体" w:cs="宋体"/>
                <w:color w:val="auto"/>
                <w:sz w:val="21"/>
                <w:szCs w:val="21"/>
                <w:highlight w:val="none"/>
              </w:rPr>
            </w:pPr>
            <w:r>
              <w:rPr>
                <w:rFonts w:hint="eastAsia" w:hAnsi="宋体" w:cs="宋体"/>
                <w:color w:val="auto"/>
                <w:sz w:val="21"/>
                <w:szCs w:val="21"/>
                <w:highlight w:val="none"/>
              </w:rPr>
              <w:t>序号</w:t>
            </w:r>
          </w:p>
        </w:tc>
        <w:tc>
          <w:tcPr>
            <w:tcW w:w="3780" w:type="dxa"/>
            <w:noWrap w:val="0"/>
            <w:vAlign w:val="center"/>
          </w:tcPr>
          <w:p w14:paraId="504F84EC">
            <w:pPr>
              <w:jc w:val="center"/>
              <w:rPr>
                <w:rFonts w:hint="eastAsia" w:hAnsi="宋体" w:cs="宋体"/>
                <w:color w:val="auto"/>
                <w:sz w:val="21"/>
                <w:szCs w:val="21"/>
                <w:highlight w:val="none"/>
              </w:rPr>
            </w:pPr>
            <w:r>
              <w:rPr>
                <w:rFonts w:hint="eastAsia" w:hAnsi="宋体" w:cs="宋体"/>
                <w:color w:val="auto"/>
                <w:sz w:val="21"/>
                <w:szCs w:val="21"/>
                <w:highlight w:val="none"/>
              </w:rPr>
              <w:t>评审内容</w:t>
            </w:r>
          </w:p>
          <w:p w14:paraId="21F016F7">
            <w:pPr>
              <w:jc w:val="center"/>
              <w:rPr>
                <w:rFonts w:hint="eastAsia" w:hAnsi="宋体" w:cs="宋体"/>
                <w:color w:val="auto"/>
                <w:sz w:val="21"/>
                <w:szCs w:val="21"/>
                <w:highlight w:val="none"/>
              </w:rPr>
            </w:pPr>
            <w:r>
              <w:rPr>
                <w:rFonts w:hint="eastAsia" w:hAnsi="宋体" w:cs="宋体"/>
                <w:color w:val="auto"/>
                <w:sz w:val="21"/>
                <w:szCs w:val="21"/>
                <w:highlight w:val="none"/>
              </w:rPr>
              <w:t>（注：此部分可直接引用招标文件第四章评标办法中评审细则相应内容）</w:t>
            </w:r>
          </w:p>
        </w:tc>
        <w:tc>
          <w:tcPr>
            <w:tcW w:w="2550" w:type="dxa"/>
            <w:noWrap w:val="0"/>
            <w:vAlign w:val="center"/>
          </w:tcPr>
          <w:p w14:paraId="32C77D25">
            <w:pPr>
              <w:jc w:val="center"/>
              <w:rPr>
                <w:rFonts w:hint="eastAsia" w:hAnsi="宋体" w:cs="宋体"/>
                <w:color w:val="auto"/>
                <w:sz w:val="21"/>
                <w:szCs w:val="21"/>
                <w:highlight w:val="none"/>
              </w:rPr>
            </w:pPr>
            <w:r>
              <w:rPr>
                <w:rFonts w:hint="eastAsia" w:hAnsi="宋体" w:cs="宋体"/>
                <w:color w:val="auto"/>
                <w:sz w:val="21"/>
                <w:szCs w:val="21"/>
                <w:highlight w:val="none"/>
              </w:rPr>
              <w:t>投标响应情况</w:t>
            </w:r>
          </w:p>
        </w:tc>
        <w:tc>
          <w:tcPr>
            <w:tcW w:w="2076" w:type="dxa"/>
            <w:noWrap w:val="0"/>
            <w:vAlign w:val="center"/>
          </w:tcPr>
          <w:p w14:paraId="70C0AF81">
            <w:pPr>
              <w:jc w:val="center"/>
              <w:rPr>
                <w:rFonts w:hint="eastAsia" w:hAnsi="宋体" w:cs="宋体"/>
                <w:color w:val="auto"/>
                <w:sz w:val="21"/>
                <w:szCs w:val="21"/>
                <w:highlight w:val="none"/>
              </w:rPr>
            </w:pPr>
            <w:r>
              <w:rPr>
                <w:rFonts w:hint="eastAsia" w:hAnsi="宋体" w:cs="宋体"/>
                <w:color w:val="auto"/>
                <w:sz w:val="21"/>
                <w:szCs w:val="21"/>
                <w:highlight w:val="none"/>
              </w:rPr>
              <w:t>投标文件响应内容对应页码</w:t>
            </w:r>
          </w:p>
        </w:tc>
      </w:tr>
      <w:tr w14:paraId="1922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080" w:type="dxa"/>
            <w:noWrap w:val="0"/>
            <w:vAlign w:val="center"/>
          </w:tcPr>
          <w:p w14:paraId="6C2C3BE4">
            <w:pPr>
              <w:jc w:val="center"/>
              <w:rPr>
                <w:rFonts w:hint="eastAsia" w:hAnsi="宋体" w:cs="宋体"/>
                <w:color w:val="auto"/>
                <w:sz w:val="21"/>
                <w:szCs w:val="21"/>
                <w:highlight w:val="none"/>
              </w:rPr>
            </w:pPr>
            <w:r>
              <w:rPr>
                <w:rFonts w:hint="eastAsia" w:hAnsi="宋体" w:cs="宋体"/>
                <w:color w:val="auto"/>
                <w:sz w:val="21"/>
                <w:szCs w:val="21"/>
                <w:highlight w:val="none"/>
              </w:rPr>
              <w:t>1</w:t>
            </w:r>
          </w:p>
        </w:tc>
        <w:tc>
          <w:tcPr>
            <w:tcW w:w="3780" w:type="dxa"/>
            <w:noWrap w:val="0"/>
            <w:vAlign w:val="center"/>
          </w:tcPr>
          <w:p w14:paraId="14BF5867">
            <w:pPr>
              <w:rPr>
                <w:rFonts w:hint="eastAsia" w:hAnsi="宋体" w:cs="宋体"/>
                <w:color w:val="auto"/>
                <w:sz w:val="21"/>
                <w:szCs w:val="21"/>
                <w:highlight w:val="none"/>
              </w:rPr>
            </w:pPr>
          </w:p>
        </w:tc>
        <w:tc>
          <w:tcPr>
            <w:tcW w:w="2550" w:type="dxa"/>
            <w:noWrap w:val="0"/>
            <w:vAlign w:val="center"/>
          </w:tcPr>
          <w:p w14:paraId="4F182DA7">
            <w:pPr>
              <w:rPr>
                <w:rFonts w:hint="eastAsia" w:hAnsi="宋体" w:cs="宋体"/>
                <w:color w:val="auto"/>
                <w:sz w:val="21"/>
                <w:szCs w:val="21"/>
                <w:highlight w:val="none"/>
              </w:rPr>
            </w:pPr>
          </w:p>
        </w:tc>
        <w:tc>
          <w:tcPr>
            <w:tcW w:w="2076" w:type="dxa"/>
            <w:noWrap w:val="0"/>
            <w:vAlign w:val="center"/>
          </w:tcPr>
          <w:p w14:paraId="3F5302E0">
            <w:pPr>
              <w:jc w:val="center"/>
              <w:rPr>
                <w:rFonts w:hint="eastAsia" w:hAnsi="宋体" w:cs="宋体"/>
                <w:color w:val="auto"/>
                <w:sz w:val="21"/>
                <w:szCs w:val="21"/>
                <w:highlight w:val="none"/>
              </w:rPr>
            </w:pPr>
          </w:p>
        </w:tc>
      </w:tr>
      <w:tr w14:paraId="5F68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080" w:type="dxa"/>
            <w:noWrap w:val="0"/>
            <w:vAlign w:val="center"/>
          </w:tcPr>
          <w:p w14:paraId="73BB551D">
            <w:pPr>
              <w:jc w:val="center"/>
              <w:rPr>
                <w:rFonts w:hint="eastAsia" w:hAnsi="宋体" w:cs="宋体"/>
                <w:color w:val="auto"/>
                <w:sz w:val="21"/>
                <w:szCs w:val="21"/>
                <w:highlight w:val="none"/>
              </w:rPr>
            </w:pPr>
            <w:r>
              <w:rPr>
                <w:rFonts w:hint="eastAsia" w:hAnsi="宋体" w:cs="宋体"/>
                <w:color w:val="auto"/>
                <w:sz w:val="21"/>
                <w:szCs w:val="21"/>
                <w:highlight w:val="none"/>
              </w:rPr>
              <w:t>2</w:t>
            </w:r>
          </w:p>
        </w:tc>
        <w:tc>
          <w:tcPr>
            <w:tcW w:w="3780" w:type="dxa"/>
            <w:noWrap w:val="0"/>
            <w:vAlign w:val="center"/>
          </w:tcPr>
          <w:p w14:paraId="683BDE0D">
            <w:pPr>
              <w:rPr>
                <w:rFonts w:hint="eastAsia" w:hAnsi="宋体" w:cs="宋体"/>
                <w:color w:val="auto"/>
                <w:sz w:val="21"/>
                <w:szCs w:val="21"/>
                <w:highlight w:val="none"/>
              </w:rPr>
            </w:pPr>
          </w:p>
        </w:tc>
        <w:tc>
          <w:tcPr>
            <w:tcW w:w="2550" w:type="dxa"/>
            <w:noWrap w:val="0"/>
            <w:vAlign w:val="center"/>
          </w:tcPr>
          <w:p w14:paraId="6FE857C7">
            <w:pPr>
              <w:rPr>
                <w:rFonts w:hint="eastAsia" w:hAnsi="宋体" w:cs="宋体"/>
                <w:color w:val="auto"/>
                <w:sz w:val="21"/>
                <w:szCs w:val="21"/>
                <w:highlight w:val="none"/>
              </w:rPr>
            </w:pPr>
          </w:p>
        </w:tc>
        <w:tc>
          <w:tcPr>
            <w:tcW w:w="2076" w:type="dxa"/>
            <w:noWrap w:val="0"/>
            <w:vAlign w:val="center"/>
          </w:tcPr>
          <w:p w14:paraId="67F0B1B2">
            <w:pPr>
              <w:jc w:val="center"/>
              <w:rPr>
                <w:rFonts w:hint="eastAsia" w:hAnsi="宋体" w:cs="宋体"/>
                <w:color w:val="auto"/>
                <w:sz w:val="21"/>
                <w:szCs w:val="21"/>
                <w:highlight w:val="none"/>
              </w:rPr>
            </w:pPr>
          </w:p>
        </w:tc>
      </w:tr>
      <w:tr w14:paraId="25CD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080" w:type="dxa"/>
            <w:noWrap w:val="0"/>
            <w:vAlign w:val="center"/>
          </w:tcPr>
          <w:p w14:paraId="7317D659">
            <w:pPr>
              <w:jc w:val="center"/>
              <w:rPr>
                <w:rFonts w:hint="eastAsia" w:hAnsi="宋体" w:cs="宋体"/>
                <w:color w:val="auto"/>
                <w:sz w:val="21"/>
                <w:szCs w:val="21"/>
                <w:highlight w:val="none"/>
              </w:rPr>
            </w:pPr>
            <w:r>
              <w:rPr>
                <w:rFonts w:hint="eastAsia" w:hAnsi="宋体" w:cs="宋体"/>
                <w:color w:val="auto"/>
                <w:sz w:val="21"/>
                <w:szCs w:val="21"/>
                <w:highlight w:val="none"/>
              </w:rPr>
              <w:t>…</w:t>
            </w:r>
          </w:p>
        </w:tc>
        <w:tc>
          <w:tcPr>
            <w:tcW w:w="3780" w:type="dxa"/>
            <w:noWrap w:val="0"/>
            <w:vAlign w:val="center"/>
          </w:tcPr>
          <w:p w14:paraId="098DB2E1">
            <w:pPr>
              <w:rPr>
                <w:rFonts w:hint="eastAsia" w:hAnsi="宋体" w:cs="宋体"/>
                <w:color w:val="auto"/>
                <w:sz w:val="21"/>
                <w:szCs w:val="21"/>
                <w:highlight w:val="none"/>
              </w:rPr>
            </w:pPr>
          </w:p>
        </w:tc>
        <w:tc>
          <w:tcPr>
            <w:tcW w:w="2550" w:type="dxa"/>
            <w:noWrap w:val="0"/>
            <w:vAlign w:val="center"/>
          </w:tcPr>
          <w:p w14:paraId="459488D4">
            <w:pPr>
              <w:rPr>
                <w:rFonts w:hint="eastAsia" w:hAnsi="宋体" w:cs="宋体"/>
                <w:color w:val="auto"/>
                <w:sz w:val="21"/>
                <w:szCs w:val="21"/>
                <w:highlight w:val="none"/>
              </w:rPr>
            </w:pPr>
          </w:p>
        </w:tc>
        <w:tc>
          <w:tcPr>
            <w:tcW w:w="2076" w:type="dxa"/>
            <w:noWrap w:val="0"/>
            <w:vAlign w:val="center"/>
          </w:tcPr>
          <w:p w14:paraId="1810FC3A">
            <w:pPr>
              <w:jc w:val="center"/>
              <w:rPr>
                <w:rFonts w:hint="eastAsia" w:hAnsi="宋体" w:cs="宋体"/>
                <w:color w:val="auto"/>
                <w:sz w:val="21"/>
                <w:szCs w:val="21"/>
                <w:highlight w:val="none"/>
              </w:rPr>
            </w:pPr>
          </w:p>
        </w:tc>
      </w:tr>
    </w:tbl>
    <w:p w14:paraId="532CF422">
      <w:pPr>
        <w:rPr>
          <w:color w:val="auto"/>
          <w:highlight w:val="none"/>
        </w:rPr>
      </w:pPr>
    </w:p>
    <w:sectPr>
      <w:footerReference r:id="rId11" w:type="first"/>
      <w:footerReference r:id="rId10" w:type="default"/>
      <w:pgSz w:w="11906" w:h="16838"/>
      <w:pgMar w:top="1418" w:right="1247" w:bottom="993" w:left="1247" w:header="851" w:footer="684"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4C97264-4D0E-4877-A769-AF9DEED25E1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49B5427-FEAE-4E4F-9800-E641860650B8}"/>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3" w:fontKey="{6D05B632-141C-4DF3-A2AF-3CDC94BD8ADC}"/>
  </w:font>
  <w:font w:name="_GB2312">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C4924E04-47AA-4608-B6B6-7D6F293A8B49}"/>
  </w:font>
  <w:font w:name="Arial Unicode MS">
    <w:altName w:val="宋体"/>
    <w:panose1 w:val="020B0604020202020204"/>
    <w:charset w:val="86"/>
    <w:family w:val="swiss"/>
    <w:pitch w:val="default"/>
    <w:sig w:usb0="00000000" w:usb1="00000000" w:usb2="0000003F" w:usb3="00000000" w:csb0="603F01FF" w:csb1="FFFF0000"/>
  </w:font>
  <w:font w:name="Helvetica Neue">
    <w:altName w:val="宋体"/>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A98676D8-6D0B-47A6-92E6-2BA4926E2E86}"/>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0000000000000000000"/>
    <w:charset w:val="86"/>
    <w:family w:val="script"/>
    <w:pitch w:val="default"/>
    <w:sig w:usb0="00000000" w:usb1="00000000" w:usb2="00082016" w:usb3="00000000" w:csb0="00040001" w:csb1="00000000"/>
    <w:embedRegular r:id="rId6" w:fontKey="{7892C2DE-30EE-4863-B21B-F6AE63F8CEF8}"/>
  </w:font>
  <w:font w:name="sans-serif">
    <w:altName w:val="Segoe Print"/>
    <w:panose1 w:val="00000000000000000000"/>
    <w:charset w:val="00"/>
    <w:family w:val="auto"/>
    <w:pitch w:val="default"/>
    <w:sig w:usb0="00000000" w:usb1="00000000" w:usb2="00000000" w:usb3="00000000" w:csb0="00000000" w:csb1="00000000"/>
    <w:embedRegular r:id="rId7" w:fontKey="{7DE29B60-1081-48D5-A7F0-0AAB37366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6B8D1">
    <w:pPr>
      <w:pStyle w:val="12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30162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301625"/>
                      </a:xfrm>
                      <a:prstGeom prst="rect">
                        <a:avLst/>
                      </a:prstGeom>
                      <a:noFill/>
                      <a:ln>
                        <a:noFill/>
                      </a:ln>
                      <a:effectLst/>
                    </wps:spPr>
                    <wps:txbx>
                      <w:txbxContent>
                        <w:p w14:paraId="55C6E553">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23.75pt;width:9.05pt;mso-position-horizontal:center;mso-position-horizontal-relative:margin;mso-wrap-style:none;z-index:251659264;mso-width-relative:page;mso-height-relative:page;" filled="f" stroked="f" coordsize="21600,21600" o:gfxdata="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&#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QLMq0QAAAAMBAAAPAAAAAAAAAAEAIAAAACIAAABk&#10;cnMvZG93bnJldi54bWxQSwECFAAUAAAACACHTuJAGngd3Q0CAAAQBAAADgAAAAAAAAABACAAAAAg&#10;AQAAZHJzL2Uyb0RvYy54bWxQSwUGAAAAAAYABgBZAQAAnwUAAAAA&#10;">
              <v:fill on="f" focussize="0,0"/>
              <v:stroke on="f"/>
              <v:imagedata o:title=""/>
              <o:lock v:ext="edit" aspectratio="f"/>
              <v:textbox inset="0mm,0mm,0mm,0mm" style="mso-fit-shape-to-text:t;">
                <w:txbxContent>
                  <w:p w14:paraId="55C6E553">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558D">
    <w:pPr>
      <w:pStyle w:val="2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B0C1D">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83B0C1D">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r>
      <w:rPr>
        <w:rFonts w:hint="eastAsia"/>
      </w:rPr>
      <w:t xml:space="preserve"> </w:t>
    </w:r>
  </w:p>
  <w:p w14:paraId="2B0C86F5">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3A04E">
    <w:pPr>
      <w:pStyle w:val="2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BFF93">
                          <w:pPr>
                            <w:pStyle w:val="27"/>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EEBFF93">
                    <w:pPr>
                      <w:pStyle w:val="27"/>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8683B">
    <w:pPr>
      <w:pStyle w:val="27"/>
      <w:tabs>
        <w:tab w:val="left" w:pos="3450"/>
        <w:tab w:val="center" w:pos="47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7D985">
                          <w:pPr>
                            <w:pStyle w:val="2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677D985">
                    <w:pPr>
                      <w:pStyle w:val="2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v:textbox>
            </v:shape>
          </w:pict>
        </mc:Fallback>
      </mc:AlternateContent>
    </w:r>
  </w:p>
  <w:p w14:paraId="7EAC2011">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39C5B">
    <w:pPr>
      <w:pStyle w:val="2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F2BA1">
                          <w:pPr>
                            <w:pStyle w:val="27"/>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03F2BA1">
                    <w:pPr>
                      <w:pStyle w:val="27"/>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27C28">
    <w:pPr>
      <w:pStyle w:val="27"/>
      <w:tabs>
        <w:tab w:val="left" w:pos="3450"/>
        <w:tab w:val="center" w:pos="47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65387">
                          <w:pPr>
                            <w:pStyle w:val="27"/>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5265387">
                    <w:pPr>
                      <w:pStyle w:val="27"/>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0971FE3F">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AE292">
    <w:pPr>
      <w:pStyle w:val="28"/>
      <w:tabs>
        <w:tab w:val="right" w:pos="8931"/>
        <w:tab w:val="clear" w:pos="8306"/>
      </w:tabs>
      <w:ind w:right="-340" w:rightChars="-162"/>
      <w:jc w:val="left"/>
      <w:rPr>
        <w:rFonts w:asciiTheme="minorEastAsia" w:hAnsiTheme="minorEastAsia" w:eastAsiaTheme="minorEastAsia"/>
        <w:szCs w:val="18"/>
      </w:rPr>
    </w:pPr>
    <w:r>
      <w:rPr>
        <w:rFonts w:hint="eastAsia" w:asciiTheme="minorEastAsia" w:hAnsiTheme="minorEastAsia" w:eastAsiaTheme="minorEastAsia"/>
        <w:bCs/>
        <w:szCs w:val="18"/>
      </w:rPr>
      <w:t xml:space="preserve">************ </w:t>
    </w:r>
    <w:r>
      <w:rPr>
        <w:rFonts w:asciiTheme="minorEastAsia" w:hAnsiTheme="minorEastAsia" w:eastAsiaTheme="minorEastAsia"/>
        <w:bCs/>
        <w:szCs w:val="18"/>
      </w:rPr>
      <w:t xml:space="preserve">               </w:t>
    </w:r>
    <w:r>
      <w:rPr>
        <w:rFonts w:hint="eastAsia" w:asciiTheme="minorEastAsia" w:hAnsiTheme="minorEastAsia" w:eastAsiaTheme="minorEastAsia"/>
        <w:szCs w:val="18"/>
      </w:rPr>
      <w:t xml:space="preserve">采购文件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0E840">
    <w:pPr>
      <w:pStyle w:val="28"/>
      <w:pBdr>
        <w:bottom w:val="none" w:color="auto" w:sz="0" w:space="1"/>
      </w:pBdr>
      <w:ind w:left="360" w:hanging="360" w:hangingChars="200"/>
      <w:jc w:val="left"/>
      <w:rPr>
        <w:rFonts w:asciiTheme="minorEastAsia" w:hAnsiTheme="minorEastAsia" w:eastAsiaTheme="minorEastAsia"/>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07EBD">
    <w:pPr>
      <w:pStyle w:val="2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27E7CD"/>
    <w:multiLevelType w:val="singleLevel"/>
    <w:tmpl w:val="C127E7CD"/>
    <w:lvl w:ilvl="0" w:tentative="0">
      <w:start w:val="1"/>
      <w:numFmt w:val="decimal"/>
      <w:lvlText w:val="%1."/>
      <w:lvlJc w:val="left"/>
      <w:pPr>
        <w:tabs>
          <w:tab w:val="left" w:pos="312"/>
        </w:tabs>
      </w:pPr>
    </w:lvl>
  </w:abstractNum>
  <w:abstractNum w:abstractNumId="1">
    <w:nsid w:val="EFF74E3F"/>
    <w:multiLevelType w:val="singleLevel"/>
    <w:tmpl w:val="EFF74E3F"/>
    <w:lvl w:ilvl="0" w:tentative="0">
      <w:start w:val="1"/>
      <w:numFmt w:val="chineseCounting"/>
      <w:suff w:val="nothing"/>
      <w:lvlText w:val="%1、"/>
      <w:lvlJc w:val="left"/>
      <w:rPr>
        <w:rFonts w:hint="eastAsia"/>
        <w:b/>
        <w:bCs/>
      </w:rPr>
    </w:lvl>
  </w:abstractNum>
  <w:abstractNum w:abstractNumId="2">
    <w:nsid w:val="F78037AD"/>
    <w:multiLevelType w:val="singleLevel"/>
    <w:tmpl w:val="F78037AD"/>
    <w:lvl w:ilvl="0" w:tentative="0">
      <w:start w:val="2"/>
      <w:numFmt w:val="chineseCounting"/>
      <w:suff w:val="space"/>
      <w:lvlText w:val="(%1)"/>
      <w:lvlJc w:val="left"/>
      <w:rPr>
        <w:rFonts w:hint="eastAsia"/>
      </w:rPr>
    </w:lvl>
  </w:abstractNum>
  <w:abstractNum w:abstractNumId="3">
    <w:nsid w:val="08240B2E"/>
    <w:multiLevelType w:val="multilevel"/>
    <w:tmpl w:val="08240B2E"/>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BB0B6AB"/>
    <w:multiLevelType w:val="singleLevel"/>
    <w:tmpl w:val="0BB0B6AB"/>
    <w:lvl w:ilvl="0" w:tentative="0">
      <w:start w:val="2"/>
      <w:numFmt w:val="decimal"/>
      <w:lvlText w:val="%1."/>
      <w:lvlJc w:val="left"/>
      <w:pPr>
        <w:tabs>
          <w:tab w:val="left" w:pos="312"/>
        </w:tabs>
      </w:pPr>
    </w:lvl>
  </w:abstractNum>
  <w:abstractNum w:abstractNumId="5">
    <w:nsid w:val="0CBB2216"/>
    <w:multiLevelType w:val="multilevel"/>
    <w:tmpl w:val="0CBB2216"/>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851" w:hanging="567"/>
      </w:pPr>
      <w:rPr>
        <w:rFonts w:hint="eastAsia" w:ascii="宋体" w:hAnsi="宋体" w:eastAsia="宋体"/>
        <w:sz w:val="24"/>
        <w:szCs w:val="24"/>
      </w:rPr>
    </w:lvl>
    <w:lvl w:ilvl="2" w:tentative="0">
      <w:start w:val="1"/>
      <w:numFmt w:val="decimal"/>
      <w:lvlText w:val="%3."/>
      <w:lvlJc w:val="left"/>
      <w:pPr>
        <w:ind w:left="1418" w:hanging="567"/>
      </w:pPr>
      <w:rPr>
        <w:rFonts w:hint="eastAsia" w:ascii="仿宋_GB2312" w:eastAsia="仿宋_GB2312"/>
        <w:color w:val="auto"/>
        <w:sz w:val="24"/>
        <w:szCs w:val="24"/>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DE9669A"/>
    <w:multiLevelType w:val="multilevel"/>
    <w:tmpl w:val="0DE9669A"/>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Theme="minorEastAsia" w:hAnsiTheme="minorEastAsia" w:eastAsiaTheme="minorEastAsia"/>
        <w:color w:val="auto"/>
        <w:sz w:val="24"/>
        <w:szCs w:val="24"/>
      </w:rPr>
    </w:lvl>
    <w:lvl w:ilvl="2" w:tentative="0">
      <w:start w:val="1"/>
      <w:numFmt w:val="decimal"/>
      <w:lvlText w:val="%3."/>
      <w:lvlJc w:val="left"/>
      <w:pPr>
        <w:ind w:left="1418" w:hanging="567"/>
      </w:pPr>
      <w:rPr>
        <w:rFonts w:hint="eastAsia" w:ascii="仿宋_GB2312" w:eastAsia="仿宋_GB2312"/>
        <w:color w:val="auto"/>
        <w:sz w:val="24"/>
        <w:szCs w:val="24"/>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13A70F57"/>
    <w:multiLevelType w:val="multilevel"/>
    <w:tmpl w:val="13A70F57"/>
    <w:lvl w:ilvl="0" w:tentative="0">
      <w:start w:val="1"/>
      <w:numFmt w:val="chineseCountingThousand"/>
      <w:lvlText w:val="%1、"/>
      <w:lvlJc w:val="left"/>
      <w:pPr>
        <w:ind w:left="2694" w:hanging="425"/>
      </w:pPr>
      <w:rPr>
        <w:rFonts w:hint="eastAsia"/>
        <w:sz w:val="24"/>
        <w:szCs w:val="24"/>
        <w:lang w:val="en-US"/>
      </w:rPr>
    </w:lvl>
    <w:lvl w:ilvl="1" w:tentative="0">
      <w:start w:val="1"/>
      <w:numFmt w:val="chineseCountingThousand"/>
      <w:lvlText w:val="（%2）"/>
      <w:lvlJc w:val="left"/>
      <w:pPr>
        <w:ind w:left="992" w:hanging="567"/>
      </w:pPr>
      <w:rPr>
        <w:rFonts w:hint="eastAsia" w:ascii="仿宋_GB2312" w:eastAsia="仿宋_GB2312"/>
        <w:sz w:val="24"/>
        <w:szCs w:val="24"/>
      </w:rPr>
    </w:lvl>
    <w:lvl w:ilvl="2" w:tentative="0">
      <w:start w:val="1"/>
      <w:numFmt w:val="decimal"/>
      <w:lvlText w:val="%3."/>
      <w:lvlJc w:val="left"/>
      <w:pPr>
        <w:ind w:left="1418" w:hanging="567"/>
      </w:pPr>
      <w:rPr>
        <w:rFonts w:hint="eastAsia" w:ascii="仿宋_GB2312" w:eastAsia="仿宋_GB2312"/>
        <w:color w:val="auto"/>
        <w:sz w:val="24"/>
        <w:szCs w:val="24"/>
      </w:rPr>
    </w:lvl>
    <w:lvl w:ilvl="3" w:tentative="0">
      <w:start w:val="1"/>
      <w:numFmt w:val="decimal"/>
      <w:lvlText w:val="(%4)"/>
      <w:lvlJc w:val="left"/>
      <w:pPr>
        <w:ind w:left="1984" w:hanging="708"/>
      </w:pPr>
      <w:rPr>
        <w:rFonts w:hint="eastAsia" w:ascii="仿宋_GB2312" w:eastAsia="仿宋_GB2312"/>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163D4CFF"/>
    <w:multiLevelType w:val="multilevel"/>
    <w:tmpl w:val="163D4CFF"/>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26CD4FF4"/>
    <w:multiLevelType w:val="multilevel"/>
    <w:tmpl w:val="26CD4FF4"/>
    <w:lvl w:ilvl="0" w:tentative="0">
      <w:start w:val="1"/>
      <w:numFmt w:val="japaneseCounting"/>
      <w:lvlText w:val="（%1）"/>
      <w:lvlJc w:val="left"/>
      <w:pPr>
        <w:ind w:left="1191" w:hanging="765"/>
      </w:pPr>
      <w:rPr>
        <w:rFonts w:hint="default"/>
      </w:rPr>
    </w:lvl>
    <w:lvl w:ilvl="1" w:tentative="0">
      <w:start w:val="1"/>
      <w:numFmt w:val="lowerLetter"/>
      <w:lvlText w:val="%2)"/>
      <w:lvlJc w:val="left"/>
      <w:pPr>
        <w:ind w:left="1081" w:hanging="420"/>
      </w:pPr>
    </w:lvl>
    <w:lvl w:ilvl="2" w:tentative="0">
      <w:start w:val="1"/>
      <w:numFmt w:val="lowerRoman"/>
      <w:lvlText w:val="%3."/>
      <w:lvlJc w:val="right"/>
      <w:pPr>
        <w:ind w:left="1501" w:hanging="420"/>
      </w:pPr>
    </w:lvl>
    <w:lvl w:ilvl="3" w:tentative="0">
      <w:start w:val="1"/>
      <w:numFmt w:val="decimal"/>
      <w:lvlText w:val="%4."/>
      <w:lvlJc w:val="left"/>
      <w:pPr>
        <w:ind w:left="1921" w:hanging="420"/>
      </w:pPr>
    </w:lvl>
    <w:lvl w:ilvl="4" w:tentative="0">
      <w:start w:val="1"/>
      <w:numFmt w:val="lowerLetter"/>
      <w:lvlText w:val="%5)"/>
      <w:lvlJc w:val="left"/>
      <w:pPr>
        <w:ind w:left="2341" w:hanging="420"/>
      </w:pPr>
    </w:lvl>
    <w:lvl w:ilvl="5" w:tentative="0">
      <w:start w:val="1"/>
      <w:numFmt w:val="lowerRoman"/>
      <w:lvlText w:val="%6."/>
      <w:lvlJc w:val="right"/>
      <w:pPr>
        <w:ind w:left="2761" w:hanging="420"/>
      </w:pPr>
    </w:lvl>
    <w:lvl w:ilvl="6" w:tentative="0">
      <w:start w:val="1"/>
      <w:numFmt w:val="decimal"/>
      <w:lvlText w:val="%7."/>
      <w:lvlJc w:val="left"/>
      <w:pPr>
        <w:ind w:left="3181" w:hanging="420"/>
      </w:pPr>
    </w:lvl>
    <w:lvl w:ilvl="7" w:tentative="0">
      <w:start w:val="1"/>
      <w:numFmt w:val="lowerLetter"/>
      <w:lvlText w:val="%8)"/>
      <w:lvlJc w:val="left"/>
      <w:pPr>
        <w:ind w:left="3601" w:hanging="420"/>
      </w:pPr>
    </w:lvl>
    <w:lvl w:ilvl="8" w:tentative="0">
      <w:start w:val="1"/>
      <w:numFmt w:val="lowerRoman"/>
      <w:lvlText w:val="%9."/>
      <w:lvlJc w:val="right"/>
      <w:pPr>
        <w:ind w:left="4021" w:hanging="420"/>
      </w:pPr>
    </w:lvl>
  </w:abstractNum>
  <w:abstractNum w:abstractNumId="10">
    <w:nsid w:val="2C600EDA"/>
    <w:multiLevelType w:val="multilevel"/>
    <w:tmpl w:val="2C600ED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E246997"/>
    <w:multiLevelType w:val="multilevel"/>
    <w:tmpl w:val="2E246997"/>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仿宋_GB2312" w:eastAsia="仿宋_GB2312"/>
        <w:sz w:val="24"/>
        <w:szCs w:val="24"/>
      </w:rPr>
    </w:lvl>
    <w:lvl w:ilvl="2" w:tentative="0">
      <w:start w:val="1"/>
      <w:numFmt w:val="decimal"/>
      <w:lvlText w:val="%3."/>
      <w:lvlJc w:val="left"/>
      <w:pPr>
        <w:ind w:left="1418" w:hanging="567"/>
      </w:pPr>
      <w:rPr>
        <w:rFonts w:hint="eastAsia" w:ascii="仿宋_GB2312" w:eastAsia="仿宋_GB2312"/>
        <w:color w:val="auto"/>
        <w:sz w:val="24"/>
        <w:szCs w:val="24"/>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316CF475"/>
    <w:multiLevelType w:val="singleLevel"/>
    <w:tmpl w:val="316CF475"/>
    <w:lvl w:ilvl="0" w:tentative="0">
      <w:start w:val="3"/>
      <w:numFmt w:val="chineseCounting"/>
      <w:suff w:val="space"/>
      <w:lvlText w:val="第%1章"/>
      <w:lvlJc w:val="left"/>
      <w:rPr>
        <w:rFonts w:hint="eastAsia"/>
      </w:rPr>
    </w:lvl>
  </w:abstractNum>
  <w:abstractNum w:abstractNumId="13">
    <w:nsid w:val="32411EB3"/>
    <w:multiLevelType w:val="multilevel"/>
    <w:tmpl w:val="32411EB3"/>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Theme="minorEastAsia" w:hAnsiTheme="minorEastAsia" w:eastAsiaTheme="minorEastAsia"/>
        <w:b/>
        <w:bCs w:val="0"/>
        <w:color w:val="auto"/>
        <w:sz w:val="24"/>
        <w:szCs w:val="24"/>
      </w:rPr>
    </w:lvl>
    <w:lvl w:ilvl="2" w:tentative="0">
      <w:start w:val="1"/>
      <w:numFmt w:val="decimal"/>
      <w:lvlText w:val="%3."/>
      <w:lvlJc w:val="left"/>
      <w:pPr>
        <w:ind w:left="987" w:hanging="567"/>
      </w:pPr>
      <w:rPr>
        <w:rFonts w:hint="eastAsia"/>
      </w:rPr>
    </w:lvl>
    <w:lvl w:ilvl="3" w:tentative="0">
      <w:start w:val="1"/>
      <w:numFmt w:val="decimal"/>
      <w:lvlText w:val="(%4)"/>
      <w:lvlJc w:val="left"/>
      <w:pPr>
        <w:ind w:left="1984" w:hanging="708"/>
      </w:pPr>
      <w:rPr>
        <w:rFonts w:hint="eastAsia" w:ascii="仿宋_GB2312" w:eastAsia="仿宋_GB2312"/>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32CA27E1"/>
    <w:multiLevelType w:val="multilevel"/>
    <w:tmpl w:val="32CA27E1"/>
    <w:lvl w:ilvl="0" w:tentative="0">
      <w:start w:val="1"/>
      <w:numFmt w:val="decimal"/>
      <w:pStyle w:val="207"/>
      <w:lvlText w:val="%1"/>
      <w:lvlJc w:val="left"/>
      <w:pPr>
        <w:ind w:left="0" w:firstLine="0"/>
      </w:pPr>
      <w:rPr>
        <w:rFonts w:hint="eastAsia" w:eastAsia="黑体"/>
        <w:b/>
        <w:i w:val="0"/>
        <w:sz w:val="24"/>
      </w:rPr>
    </w:lvl>
    <w:lvl w:ilvl="1" w:tentative="0">
      <w:start w:val="1"/>
      <w:numFmt w:val="decimal"/>
      <w:lvlRestart w:val="0"/>
      <w:isLgl/>
      <w:lvlText w:val="%1.%2"/>
      <w:lvlJc w:val="left"/>
      <w:pPr>
        <w:tabs>
          <w:tab w:val="left" w:pos="510"/>
        </w:tabs>
        <w:ind w:left="420" w:hanging="210"/>
      </w:pPr>
      <w:rPr>
        <w:rFonts w:hint="eastAsia"/>
      </w:rPr>
    </w:lvl>
    <w:lvl w:ilvl="2" w:tentative="0">
      <w:start w:val="1"/>
      <w:numFmt w:val="decimal"/>
      <w:isLgl/>
      <w:lvlText w:val="%1.%2.%3"/>
      <w:lvlJc w:val="left"/>
      <w:pPr>
        <w:ind w:left="397" w:firstLine="103"/>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34573396"/>
    <w:multiLevelType w:val="multilevel"/>
    <w:tmpl w:val="34573396"/>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1560" w:hanging="567"/>
      </w:pPr>
      <w:rPr>
        <w:rFonts w:hint="eastAsia" w:ascii="仿宋_GB2312" w:eastAsia="仿宋_GB2312"/>
        <w:b/>
        <w:color w:val="auto"/>
        <w:sz w:val="24"/>
        <w:szCs w:val="24"/>
      </w:rPr>
    </w:lvl>
    <w:lvl w:ilvl="2" w:tentative="0">
      <w:start w:val="1"/>
      <w:numFmt w:val="decimal"/>
      <w:lvlText w:val="%3."/>
      <w:lvlJc w:val="left"/>
      <w:pPr>
        <w:ind w:left="993" w:hanging="567"/>
      </w:pPr>
      <w:rPr>
        <w:rFonts w:hint="eastAsia"/>
      </w:rPr>
    </w:lvl>
    <w:lvl w:ilvl="3" w:tentative="0">
      <w:start w:val="1"/>
      <w:numFmt w:val="decimal"/>
      <w:lvlText w:val="(%4)"/>
      <w:lvlJc w:val="left"/>
      <w:pPr>
        <w:ind w:left="1984" w:hanging="708"/>
      </w:pPr>
      <w:rPr>
        <w:rFonts w:hint="eastAsia" w:ascii="仿宋_GB2312" w:eastAsia="仿宋_GB2312"/>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38EB4F14"/>
    <w:multiLevelType w:val="multilevel"/>
    <w:tmpl w:val="38EB4F14"/>
    <w:lvl w:ilvl="0" w:tentative="0">
      <w:start w:val="1"/>
      <w:numFmt w:val="decimal"/>
      <w:lvlText w:val="%1."/>
      <w:lvlJc w:val="left"/>
      <w:pPr>
        <w:ind w:left="900" w:hanging="420"/>
      </w:pPr>
    </w:lvl>
    <w:lvl w:ilvl="1" w:tentative="0">
      <w:start w:val="1"/>
      <w:numFmt w:val="japaneseCounting"/>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44F65E9B"/>
    <w:multiLevelType w:val="multilevel"/>
    <w:tmpl w:val="44F65E9B"/>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Theme="minorEastAsia" w:hAnsiTheme="minorEastAsia" w:eastAsiaTheme="minorEastAsia"/>
        <w:sz w:val="24"/>
        <w:szCs w:val="24"/>
      </w:rPr>
    </w:lvl>
    <w:lvl w:ilvl="2" w:tentative="0">
      <w:start w:val="1"/>
      <w:numFmt w:val="decimal"/>
      <w:lvlText w:val="%3."/>
      <w:lvlJc w:val="left"/>
      <w:pPr>
        <w:ind w:left="1418" w:hanging="567"/>
      </w:pPr>
      <w:rPr>
        <w:rFonts w:hint="eastAsia" w:ascii="仿宋_GB2312" w:eastAsia="仿宋_GB2312"/>
        <w:color w:val="auto"/>
        <w:sz w:val="24"/>
        <w:szCs w:val="24"/>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44FD527E"/>
    <w:multiLevelType w:val="multilevel"/>
    <w:tmpl w:val="44FD527E"/>
    <w:lvl w:ilvl="0" w:tentative="0">
      <w:start w:val="1"/>
      <w:numFmt w:val="chineseCountingThousand"/>
      <w:lvlText w:val="%1、"/>
      <w:lvlJc w:val="left"/>
      <w:pPr>
        <w:ind w:left="425" w:hanging="425"/>
      </w:pPr>
      <w:rPr>
        <w:rFonts w:hint="eastAsia"/>
        <w:sz w:val="24"/>
        <w:szCs w:val="24"/>
      </w:rPr>
    </w:lvl>
    <w:lvl w:ilvl="1" w:tentative="0">
      <w:start w:val="1"/>
      <w:numFmt w:val="chineseCountingThousand"/>
      <w:lvlText w:val="（%2）"/>
      <w:lvlJc w:val="left"/>
      <w:pPr>
        <w:ind w:left="992" w:hanging="567"/>
      </w:pPr>
      <w:rPr>
        <w:rFonts w:hint="eastAsia" w:asciiTheme="minorEastAsia" w:hAnsiTheme="minorEastAsia" w:eastAsiaTheme="minorEastAsia"/>
        <w:sz w:val="24"/>
        <w:szCs w:val="24"/>
      </w:rPr>
    </w:lvl>
    <w:lvl w:ilvl="2" w:tentative="0">
      <w:start w:val="1"/>
      <w:numFmt w:val="decimal"/>
      <w:lvlText w:val="%3)"/>
      <w:lvlJc w:val="left"/>
      <w:pPr>
        <w:ind w:left="1418" w:hanging="567"/>
      </w:pPr>
      <w:rPr>
        <w:rFonts w:hint="eastAsia"/>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4C230CE6"/>
    <w:multiLevelType w:val="multilevel"/>
    <w:tmpl w:val="4C230CE6"/>
    <w:lvl w:ilvl="0" w:tentative="0">
      <w:start w:val="1"/>
      <w:numFmt w:val="chineseCountingThousand"/>
      <w:lvlText w:val="%1、"/>
      <w:lvlJc w:val="left"/>
      <w:pPr>
        <w:ind w:left="425" w:hanging="425"/>
      </w:pPr>
      <w:rPr>
        <w:rFonts w:hint="eastAsia"/>
        <w:sz w:val="24"/>
        <w:szCs w:val="24"/>
      </w:rPr>
    </w:lvl>
    <w:lvl w:ilvl="1" w:tentative="0">
      <w:start w:val="1"/>
      <w:numFmt w:val="chineseCountingThousand"/>
      <w:lvlText w:val="（%2）"/>
      <w:lvlJc w:val="left"/>
      <w:pPr>
        <w:ind w:left="992" w:hanging="567"/>
      </w:pPr>
      <w:rPr>
        <w:rFonts w:hint="eastAsia" w:asciiTheme="minorEastAsia" w:hAnsiTheme="minorEastAsia" w:eastAsiaTheme="minorEastAsia"/>
        <w:color w:val="auto"/>
        <w:sz w:val="24"/>
        <w:szCs w:val="24"/>
        <w:lang w:val="en-US"/>
      </w:rPr>
    </w:lvl>
    <w:lvl w:ilvl="2" w:tentative="0">
      <w:start w:val="1"/>
      <w:numFmt w:val="decimal"/>
      <w:lvlText w:val="%3."/>
      <w:lvlJc w:val="left"/>
      <w:pPr>
        <w:ind w:left="1418" w:hanging="567"/>
      </w:pPr>
      <w:rPr>
        <w:rFonts w:hint="eastAsia"/>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4A048DD"/>
    <w:multiLevelType w:val="multilevel"/>
    <w:tmpl w:val="54A048DD"/>
    <w:lvl w:ilvl="0" w:tentative="0">
      <w:start w:val="1"/>
      <w:numFmt w:val="decimal"/>
      <w:pStyle w:val="206"/>
      <w:lvlText w:val="%1."/>
      <w:lvlJc w:val="left"/>
      <w:pPr>
        <w:ind w:left="0" w:firstLine="0"/>
      </w:pPr>
      <w:rPr>
        <w:rFonts w:hint="eastAsia"/>
      </w:rPr>
    </w:lvl>
    <w:lvl w:ilvl="1" w:tentative="0">
      <w:start w:val="1"/>
      <w:numFmt w:val="decimal"/>
      <w:pStyle w:val="205"/>
      <w:isLgl/>
      <w:suff w:val="space"/>
      <w:lvlText w:val="%1.%2."/>
      <w:lvlJc w:val="left"/>
      <w:pPr>
        <w:ind w:left="1560" w:hanging="567"/>
      </w:pPr>
      <w:rPr>
        <w:rFonts w:hint="eastAsia"/>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1730" w:hanging="737"/>
      </w:pPr>
      <w:rPr>
        <w:rFonts w:hint="eastAsia"/>
      </w:rPr>
    </w:lvl>
    <w:lvl w:ilvl="3" w:tentative="0">
      <w:start w:val="1"/>
      <w:numFmt w:val="decimal"/>
      <w:suff w:val="nothing"/>
      <w:lvlText w:val="%1.%2.%3.%4."/>
      <w:lvlJc w:val="left"/>
      <w:pPr>
        <w:ind w:left="964" w:hanging="964"/>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1">
    <w:nsid w:val="56216BF3"/>
    <w:multiLevelType w:val="multilevel"/>
    <w:tmpl w:val="56216BF3"/>
    <w:lvl w:ilvl="0" w:tentative="0">
      <w:start w:val="1"/>
      <w:numFmt w:val="decimal"/>
      <w:lvlText w:val="%1."/>
      <w:lvlJc w:val="left"/>
      <w:pPr>
        <w:tabs>
          <w:tab w:val="left" w:pos="840"/>
        </w:tabs>
        <w:ind w:left="840" w:hanging="420"/>
      </w:pPr>
      <w:rPr>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BA041F4"/>
    <w:multiLevelType w:val="multilevel"/>
    <w:tmpl w:val="5BA041F4"/>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仿宋_GB2312" w:eastAsia="仿宋_GB2312"/>
        <w:b/>
        <w:color w:val="auto"/>
        <w:sz w:val="24"/>
        <w:szCs w:val="24"/>
      </w:rPr>
    </w:lvl>
    <w:lvl w:ilvl="2" w:tentative="0">
      <w:start w:val="1"/>
      <w:numFmt w:val="decimal"/>
      <w:lvlText w:val="%3."/>
      <w:lvlJc w:val="left"/>
      <w:pPr>
        <w:ind w:left="993" w:hanging="567"/>
      </w:pPr>
      <w:rPr>
        <w:rFonts w:hint="eastAsia"/>
      </w:rPr>
    </w:lvl>
    <w:lvl w:ilvl="3" w:tentative="0">
      <w:start w:val="1"/>
      <w:numFmt w:val="decimal"/>
      <w:lvlText w:val="(%4)"/>
      <w:lvlJc w:val="left"/>
      <w:pPr>
        <w:ind w:left="1984" w:hanging="708"/>
      </w:pPr>
      <w:rPr>
        <w:rFonts w:hint="eastAsia" w:ascii="仿宋_GB2312" w:eastAsia="仿宋_GB2312"/>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5C050539"/>
    <w:multiLevelType w:val="multilevel"/>
    <w:tmpl w:val="5C050539"/>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sz w:val="21"/>
      </w:rPr>
    </w:lvl>
    <w:lvl w:ilvl="2" w:tentative="0">
      <w:start w:val="1"/>
      <w:numFmt w:val="decimal"/>
      <w:lvlText w:val="%3."/>
      <w:lvlJc w:val="left"/>
      <w:pPr>
        <w:ind w:left="1418" w:hanging="567"/>
      </w:pPr>
      <w:rPr>
        <w:rFonts w:hint="eastAsia"/>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5CF208B5"/>
    <w:multiLevelType w:val="multilevel"/>
    <w:tmpl w:val="5CF208B5"/>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D280FF6"/>
    <w:multiLevelType w:val="multilevel"/>
    <w:tmpl w:val="5D280FF6"/>
    <w:lvl w:ilvl="0" w:tentative="0">
      <w:start w:val="1"/>
      <w:numFmt w:val="decimal"/>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26">
    <w:nsid w:val="65B927D0"/>
    <w:multiLevelType w:val="multilevel"/>
    <w:tmpl w:val="65B927D0"/>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仿宋_GB2312" w:eastAsia="仿宋_GB2312"/>
        <w:b/>
        <w:color w:val="auto"/>
        <w:sz w:val="24"/>
        <w:szCs w:val="24"/>
      </w:rPr>
    </w:lvl>
    <w:lvl w:ilvl="2" w:tentative="0">
      <w:start w:val="1"/>
      <w:numFmt w:val="decimal"/>
      <w:lvlText w:val="%3."/>
      <w:lvlJc w:val="left"/>
      <w:pPr>
        <w:ind w:left="1277" w:hanging="567"/>
      </w:pPr>
      <w:rPr>
        <w:rFonts w:hint="eastAsia"/>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7">
    <w:nsid w:val="6B3B09F3"/>
    <w:multiLevelType w:val="multilevel"/>
    <w:tmpl w:val="6B3B09F3"/>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仿宋_GB2312" w:eastAsia="仿宋_GB2312"/>
        <w:b/>
        <w:color w:val="auto"/>
        <w:sz w:val="24"/>
        <w:szCs w:val="24"/>
      </w:rPr>
    </w:lvl>
    <w:lvl w:ilvl="2" w:tentative="0">
      <w:start w:val="1"/>
      <w:numFmt w:val="decimal"/>
      <w:lvlText w:val="%3."/>
      <w:lvlJc w:val="left"/>
      <w:pPr>
        <w:ind w:left="1277" w:hanging="567"/>
      </w:pPr>
      <w:rPr>
        <w:rFonts w:hint="eastAsia"/>
      </w:rPr>
    </w:lvl>
    <w:lvl w:ilvl="3" w:tentative="0">
      <w:start w:val="1"/>
      <w:numFmt w:val="decimal"/>
      <w:lvlText w:val="(%4)"/>
      <w:lvlJc w:val="left"/>
      <w:pPr>
        <w:ind w:left="1984" w:hanging="708"/>
      </w:pPr>
      <w:rPr>
        <w:rFonts w:hint="eastAsia" w:ascii="仿宋_GB2312" w:eastAsia="仿宋_GB2312"/>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8">
    <w:nsid w:val="6E6F60E4"/>
    <w:multiLevelType w:val="multilevel"/>
    <w:tmpl w:val="6E6F60E4"/>
    <w:lvl w:ilvl="0" w:tentative="0">
      <w:start w:val="1"/>
      <w:numFmt w:val="chineseCountingThousand"/>
      <w:lvlText w:val="%1、"/>
      <w:lvlJc w:val="left"/>
      <w:pPr>
        <w:ind w:left="425" w:hanging="425"/>
      </w:pPr>
      <w:rPr>
        <w:rFonts w:hint="eastAsia"/>
        <w:sz w:val="24"/>
        <w:szCs w:val="24"/>
      </w:rPr>
    </w:lvl>
    <w:lvl w:ilvl="1" w:tentative="0">
      <w:start w:val="1"/>
      <w:numFmt w:val="chineseCountingThousand"/>
      <w:lvlText w:val="（%2）"/>
      <w:lvlJc w:val="left"/>
      <w:pPr>
        <w:ind w:left="992" w:hanging="567"/>
      </w:pPr>
      <w:rPr>
        <w:rFonts w:hint="eastAsia" w:asciiTheme="minorEastAsia" w:hAnsiTheme="minorEastAsia" w:eastAsiaTheme="minorEastAsia"/>
        <w:sz w:val="24"/>
        <w:szCs w:val="24"/>
      </w:rPr>
    </w:lvl>
    <w:lvl w:ilvl="2" w:tentative="0">
      <w:start w:val="1"/>
      <w:numFmt w:val="decimal"/>
      <w:lvlText w:val="%3."/>
      <w:lvlJc w:val="left"/>
      <w:pPr>
        <w:ind w:left="1418" w:hanging="567"/>
      </w:pPr>
      <w:rPr>
        <w:rFonts w:hint="eastAsia"/>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9">
    <w:nsid w:val="6E6F60EA"/>
    <w:multiLevelType w:val="multilevel"/>
    <w:tmpl w:val="6E6F60E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0"/>
  </w:num>
  <w:num w:numId="2">
    <w:abstractNumId w:val="14"/>
  </w:num>
  <w:num w:numId="3">
    <w:abstractNumId w:val="4"/>
  </w:num>
  <w:num w:numId="4">
    <w:abstractNumId w:val="13"/>
  </w:num>
  <w:num w:numId="5">
    <w:abstractNumId w:val="25"/>
  </w:num>
  <w:num w:numId="6">
    <w:abstractNumId w:val="22"/>
  </w:num>
  <w:num w:numId="7">
    <w:abstractNumId w:val="27"/>
  </w:num>
  <w:num w:numId="8">
    <w:abstractNumId w:val="9"/>
  </w:num>
  <w:num w:numId="9">
    <w:abstractNumId w:val="16"/>
  </w:num>
  <w:num w:numId="10">
    <w:abstractNumId w:val="15"/>
  </w:num>
  <w:num w:numId="11">
    <w:abstractNumId w:val="26"/>
  </w:num>
  <w:num w:numId="12">
    <w:abstractNumId w:val="1"/>
  </w:num>
  <w:num w:numId="13">
    <w:abstractNumId w:val="12"/>
  </w:num>
  <w:num w:numId="14">
    <w:abstractNumId w:val="7"/>
  </w:num>
  <w:num w:numId="15">
    <w:abstractNumId w:val="19"/>
  </w:num>
  <w:num w:numId="16">
    <w:abstractNumId w:val="28"/>
  </w:num>
  <w:num w:numId="17">
    <w:abstractNumId w:val="8"/>
  </w:num>
  <w:num w:numId="18">
    <w:abstractNumId w:val="24"/>
  </w:num>
  <w:num w:numId="19">
    <w:abstractNumId w:val="18"/>
  </w:num>
  <w:num w:numId="20">
    <w:abstractNumId w:val="21"/>
  </w:num>
  <w:num w:numId="21">
    <w:abstractNumId w:val="3"/>
  </w:num>
  <w:num w:numId="22">
    <w:abstractNumId w:val="0"/>
  </w:num>
  <w:num w:numId="23">
    <w:abstractNumId w:val="6"/>
  </w:num>
  <w:num w:numId="24">
    <w:abstractNumId w:val="17"/>
  </w:num>
  <w:num w:numId="25">
    <w:abstractNumId w:val="11"/>
  </w:num>
  <w:num w:numId="26">
    <w:abstractNumId w:val="5"/>
  </w:num>
  <w:num w:numId="27">
    <w:abstractNumId w:val="2"/>
  </w:num>
  <w:num w:numId="28">
    <w:abstractNumId w:val="10"/>
  </w:num>
  <w:num w:numId="29">
    <w:abstractNumId w:val="23"/>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YzU5YjUyYzZiN2JkM2VmY2M2NjM4NDdkNWFhYjkifQ=="/>
  </w:docVars>
  <w:rsids>
    <w:rsidRoot w:val="00172A27"/>
    <w:rsid w:val="000005F1"/>
    <w:rsid w:val="0000111A"/>
    <w:rsid w:val="0000145E"/>
    <w:rsid w:val="000027E8"/>
    <w:rsid w:val="000038FB"/>
    <w:rsid w:val="00003F75"/>
    <w:rsid w:val="0000422B"/>
    <w:rsid w:val="00004363"/>
    <w:rsid w:val="00004E22"/>
    <w:rsid w:val="000073F3"/>
    <w:rsid w:val="0001027B"/>
    <w:rsid w:val="0001084B"/>
    <w:rsid w:val="00010E82"/>
    <w:rsid w:val="00011135"/>
    <w:rsid w:val="00012DEB"/>
    <w:rsid w:val="000139C1"/>
    <w:rsid w:val="00013C53"/>
    <w:rsid w:val="00013EA0"/>
    <w:rsid w:val="000141C4"/>
    <w:rsid w:val="000146D6"/>
    <w:rsid w:val="00014D04"/>
    <w:rsid w:val="0001586D"/>
    <w:rsid w:val="00015883"/>
    <w:rsid w:val="0001604A"/>
    <w:rsid w:val="000165A7"/>
    <w:rsid w:val="00016FE5"/>
    <w:rsid w:val="00017577"/>
    <w:rsid w:val="00017782"/>
    <w:rsid w:val="00020173"/>
    <w:rsid w:val="00020939"/>
    <w:rsid w:val="0002182F"/>
    <w:rsid w:val="0002187A"/>
    <w:rsid w:val="0002196B"/>
    <w:rsid w:val="00021989"/>
    <w:rsid w:val="00022B3A"/>
    <w:rsid w:val="00022B5E"/>
    <w:rsid w:val="00022CC8"/>
    <w:rsid w:val="00022F0F"/>
    <w:rsid w:val="00022F68"/>
    <w:rsid w:val="00024269"/>
    <w:rsid w:val="000246AE"/>
    <w:rsid w:val="00024F4C"/>
    <w:rsid w:val="00025091"/>
    <w:rsid w:val="000252DC"/>
    <w:rsid w:val="00026347"/>
    <w:rsid w:val="00026DD0"/>
    <w:rsid w:val="00027149"/>
    <w:rsid w:val="00027691"/>
    <w:rsid w:val="000303F3"/>
    <w:rsid w:val="000308FA"/>
    <w:rsid w:val="00030924"/>
    <w:rsid w:val="00030EAA"/>
    <w:rsid w:val="00032257"/>
    <w:rsid w:val="00032388"/>
    <w:rsid w:val="00032D64"/>
    <w:rsid w:val="00032F8D"/>
    <w:rsid w:val="00033D8A"/>
    <w:rsid w:val="000348E8"/>
    <w:rsid w:val="00034D23"/>
    <w:rsid w:val="00034FDA"/>
    <w:rsid w:val="000352E6"/>
    <w:rsid w:val="000357ED"/>
    <w:rsid w:val="00035A78"/>
    <w:rsid w:val="00035D6A"/>
    <w:rsid w:val="00036A69"/>
    <w:rsid w:val="00036B7B"/>
    <w:rsid w:val="00037065"/>
    <w:rsid w:val="000378BC"/>
    <w:rsid w:val="0004071B"/>
    <w:rsid w:val="00040BE6"/>
    <w:rsid w:val="000416D1"/>
    <w:rsid w:val="000419B9"/>
    <w:rsid w:val="00042145"/>
    <w:rsid w:val="0004317E"/>
    <w:rsid w:val="00043414"/>
    <w:rsid w:val="00043BE5"/>
    <w:rsid w:val="000446BF"/>
    <w:rsid w:val="000446D5"/>
    <w:rsid w:val="00044D85"/>
    <w:rsid w:val="00044E81"/>
    <w:rsid w:val="00045A4D"/>
    <w:rsid w:val="00046E0A"/>
    <w:rsid w:val="000473A4"/>
    <w:rsid w:val="00047750"/>
    <w:rsid w:val="00047EE9"/>
    <w:rsid w:val="00050126"/>
    <w:rsid w:val="000501C2"/>
    <w:rsid w:val="00050293"/>
    <w:rsid w:val="00050B54"/>
    <w:rsid w:val="00050EA8"/>
    <w:rsid w:val="000517B7"/>
    <w:rsid w:val="0005232B"/>
    <w:rsid w:val="0005240B"/>
    <w:rsid w:val="00053398"/>
    <w:rsid w:val="00053585"/>
    <w:rsid w:val="000538A0"/>
    <w:rsid w:val="00053EA8"/>
    <w:rsid w:val="000543E5"/>
    <w:rsid w:val="000547A5"/>
    <w:rsid w:val="00054820"/>
    <w:rsid w:val="00054F4D"/>
    <w:rsid w:val="000559CE"/>
    <w:rsid w:val="00055C7A"/>
    <w:rsid w:val="00055E2C"/>
    <w:rsid w:val="000560BB"/>
    <w:rsid w:val="000563E1"/>
    <w:rsid w:val="000564EE"/>
    <w:rsid w:val="00056B74"/>
    <w:rsid w:val="00060676"/>
    <w:rsid w:val="00060BCB"/>
    <w:rsid w:val="00060EFB"/>
    <w:rsid w:val="00061091"/>
    <w:rsid w:val="000615B7"/>
    <w:rsid w:val="0006174E"/>
    <w:rsid w:val="00061843"/>
    <w:rsid w:val="00061E51"/>
    <w:rsid w:val="000638E2"/>
    <w:rsid w:val="00064FB4"/>
    <w:rsid w:val="000657AB"/>
    <w:rsid w:val="00065E2C"/>
    <w:rsid w:val="0006770E"/>
    <w:rsid w:val="0007094F"/>
    <w:rsid w:val="0007156C"/>
    <w:rsid w:val="000719F6"/>
    <w:rsid w:val="00071D8B"/>
    <w:rsid w:val="00071F48"/>
    <w:rsid w:val="000724C7"/>
    <w:rsid w:val="00073297"/>
    <w:rsid w:val="00073370"/>
    <w:rsid w:val="00073AB8"/>
    <w:rsid w:val="00073D7A"/>
    <w:rsid w:val="00073F6F"/>
    <w:rsid w:val="00074502"/>
    <w:rsid w:val="00076DE4"/>
    <w:rsid w:val="00077248"/>
    <w:rsid w:val="00077877"/>
    <w:rsid w:val="00077BDF"/>
    <w:rsid w:val="00080530"/>
    <w:rsid w:val="00080F0C"/>
    <w:rsid w:val="000812ED"/>
    <w:rsid w:val="00081AC3"/>
    <w:rsid w:val="00083122"/>
    <w:rsid w:val="000833DA"/>
    <w:rsid w:val="00083874"/>
    <w:rsid w:val="0008388F"/>
    <w:rsid w:val="00083D86"/>
    <w:rsid w:val="00084200"/>
    <w:rsid w:val="0008469D"/>
    <w:rsid w:val="000846FF"/>
    <w:rsid w:val="00084C9D"/>
    <w:rsid w:val="00084DA7"/>
    <w:rsid w:val="000858DD"/>
    <w:rsid w:val="00085BA4"/>
    <w:rsid w:val="000860C0"/>
    <w:rsid w:val="00086124"/>
    <w:rsid w:val="000861A8"/>
    <w:rsid w:val="00086D1B"/>
    <w:rsid w:val="000870B6"/>
    <w:rsid w:val="00087502"/>
    <w:rsid w:val="00087916"/>
    <w:rsid w:val="00087B73"/>
    <w:rsid w:val="0009021B"/>
    <w:rsid w:val="0009037D"/>
    <w:rsid w:val="00092DC3"/>
    <w:rsid w:val="00092F42"/>
    <w:rsid w:val="00096CAD"/>
    <w:rsid w:val="00096FB2"/>
    <w:rsid w:val="000972EE"/>
    <w:rsid w:val="000973DE"/>
    <w:rsid w:val="00097CA8"/>
    <w:rsid w:val="00097F5E"/>
    <w:rsid w:val="000A039C"/>
    <w:rsid w:val="000A0CC9"/>
    <w:rsid w:val="000A10AC"/>
    <w:rsid w:val="000A198D"/>
    <w:rsid w:val="000A32D1"/>
    <w:rsid w:val="000A32FB"/>
    <w:rsid w:val="000A3BE6"/>
    <w:rsid w:val="000A4BC2"/>
    <w:rsid w:val="000A4DC2"/>
    <w:rsid w:val="000A6214"/>
    <w:rsid w:val="000A6F74"/>
    <w:rsid w:val="000A6FAA"/>
    <w:rsid w:val="000A71A5"/>
    <w:rsid w:val="000A7697"/>
    <w:rsid w:val="000A7BCB"/>
    <w:rsid w:val="000B0DF0"/>
    <w:rsid w:val="000B1CB7"/>
    <w:rsid w:val="000B2851"/>
    <w:rsid w:val="000B3305"/>
    <w:rsid w:val="000B3516"/>
    <w:rsid w:val="000B3DEC"/>
    <w:rsid w:val="000B5949"/>
    <w:rsid w:val="000B6831"/>
    <w:rsid w:val="000B6B14"/>
    <w:rsid w:val="000B6BC0"/>
    <w:rsid w:val="000B76BE"/>
    <w:rsid w:val="000C0CA6"/>
    <w:rsid w:val="000C1365"/>
    <w:rsid w:val="000C1C2E"/>
    <w:rsid w:val="000C256C"/>
    <w:rsid w:val="000C2ACB"/>
    <w:rsid w:val="000C38F4"/>
    <w:rsid w:val="000C3BA3"/>
    <w:rsid w:val="000C4469"/>
    <w:rsid w:val="000C4521"/>
    <w:rsid w:val="000C4638"/>
    <w:rsid w:val="000C4B9B"/>
    <w:rsid w:val="000C5C95"/>
    <w:rsid w:val="000C63FB"/>
    <w:rsid w:val="000C7969"/>
    <w:rsid w:val="000C7F00"/>
    <w:rsid w:val="000D070E"/>
    <w:rsid w:val="000D0992"/>
    <w:rsid w:val="000D170E"/>
    <w:rsid w:val="000D1A6F"/>
    <w:rsid w:val="000D1DD5"/>
    <w:rsid w:val="000D1F7D"/>
    <w:rsid w:val="000D413A"/>
    <w:rsid w:val="000D46A0"/>
    <w:rsid w:val="000D529E"/>
    <w:rsid w:val="000D7244"/>
    <w:rsid w:val="000D74FC"/>
    <w:rsid w:val="000D752D"/>
    <w:rsid w:val="000D7D5B"/>
    <w:rsid w:val="000E02FD"/>
    <w:rsid w:val="000E0966"/>
    <w:rsid w:val="000E114B"/>
    <w:rsid w:val="000E12C2"/>
    <w:rsid w:val="000E1D5B"/>
    <w:rsid w:val="000E1EB7"/>
    <w:rsid w:val="000E2346"/>
    <w:rsid w:val="000E4B50"/>
    <w:rsid w:val="000E4BFA"/>
    <w:rsid w:val="000E5BD4"/>
    <w:rsid w:val="000E5EBA"/>
    <w:rsid w:val="000E6633"/>
    <w:rsid w:val="000E71E4"/>
    <w:rsid w:val="000E7367"/>
    <w:rsid w:val="000F0C16"/>
    <w:rsid w:val="000F0E91"/>
    <w:rsid w:val="000F0E98"/>
    <w:rsid w:val="000F10AE"/>
    <w:rsid w:val="000F174F"/>
    <w:rsid w:val="000F22EA"/>
    <w:rsid w:val="000F2503"/>
    <w:rsid w:val="000F2596"/>
    <w:rsid w:val="000F411D"/>
    <w:rsid w:val="000F441D"/>
    <w:rsid w:val="000F4421"/>
    <w:rsid w:val="000F4E61"/>
    <w:rsid w:val="000F4FD8"/>
    <w:rsid w:val="000F52FC"/>
    <w:rsid w:val="000F5A39"/>
    <w:rsid w:val="000F6CE6"/>
    <w:rsid w:val="000F7782"/>
    <w:rsid w:val="000F7B09"/>
    <w:rsid w:val="00100329"/>
    <w:rsid w:val="00100939"/>
    <w:rsid w:val="00101BD4"/>
    <w:rsid w:val="00101C0D"/>
    <w:rsid w:val="001025F2"/>
    <w:rsid w:val="00102982"/>
    <w:rsid w:val="00103C5C"/>
    <w:rsid w:val="00103EAF"/>
    <w:rsid w:val="00104FDA"/>
    <w:rsid w:val="00105601"/>
    <w:rsid w:val="0010653F"/>
    <w:rsid w:val="001069C2"/>
    <w:rsid w:val="0010700B"/>
    <w:rsid w:val="001105FF"/>
    <w:rsid w:val="001106B6"/>
    <w:rsid w:val="00110E89"/>
    <w:rsid w:val="00111E59"/>
    <w:rsid w:val="0011223E"/>
    <w:rsid w:val="00112C45"/>
    <w:rsid w:val="001130A4"/>
    <w:rsid w:val="001132A5"/>
    <w:rsid w:val="0011386D"/>
    <w:rsid w:val="00113D5C"/>
    <w:rsid w:val="0011506C"/>
    <w:rsid w:val="00115A5D"/>
    <w:rsid w:val="00115DB7"/>
    <w:rsid w:val="00115E52"/>
    <w:rsid w:val="00116000"/>
    <w:rsid w:val="001160AF"/>
    <w:rsid w:val="00116634"/>
    <w:rsid w:val="00116810"/>
    <w:rsid w:val="00116863"/>
    <w:rsid w:val="001169F0"/>
    <w:rsid w:val="00116A12"/>
    <w:rsid w:val="00117BD7"/>
    <w:rsid w:val="00120AF3"/>
    <w:rsid w:val="00120B55"/>
    <w:rsid w:val="00120D0A"/>
    <w:rsid w:val="00121A87"/>
    <w:rsid w:val="00122B00"/>
    <w:rsid w:val="00122FB1"/>
    <w:rsid w:val="0012391A"/>
    <w:rsid w:val="001243AD"/>
    <w:rsid w:val="0012477F"/>
    <w:rsid w:val="00124EFC"/>
    <w:rsid w:val="00125233"/>
    <w:rsid w:val="001252BB"/>
    <w:rsid w:val="001263CD"/>
    <w:rsid w:val="001274F4"/>
    <w:rsid w:val="001303AC"/>
    <w:rsid w:val="001303D0"/>
    <w:rsid w:val="00130C6F"/>
    <w:rsid w:val="00131991"/>
    <w:rsid w:val="00131D45"/>
    <w:rsid w:val="00132025"/>
    <w:rsid w:val="00132332"/>
    <w:rsid w:val="00132F08"/>
    <w:rsid w:val="00133320"/>
    <w:rsid w:val="001333F1"/>
    <w:rsid w:val="00133F5C"/>
    <w:rsid w:val="001343E5"/>
    <w:rsid w:val="00134433"/>
    <w:rsid w:val="0013468E"/>
    <w:rsid w:val="00135302"/>
    <w:rsid w:val="001354C7"/>
    <w:rsid w:val="00136257"/>
    <w:rsid w:val="00136A47"/>
    <w:rsid w:val="0013715C"/>
    <w:rsid w:val="001372CE"/>
    <w:rsid w:val="0013744B"/>
    <w:rsid w:val="00137790"/>
    <w:rsid w:val="00137817"/>
    <w:rsid w:val="00140D11"/>
    <w:rsid w:val="00142498"/>
    <w:rsid w:val="0014252A"/>
    <w:rsid w:val="00142556"/>
    <w:rsid w:val="00142AAB"/>
    <w:rsid w:val="00143505"/>
    <w:rsid w:val="00143812"/>
    <w:rsid w:val="00143B21"/>
    <w:rsid w:val="00144BC6"/>
    <w:rsid w:val="00145094"/>
    <w:rsid w:val="00146C84"/>
    <w:rsid w:val="0014717E"/>
    <w:rsid w:val="00147EEB"/>
    <w:rsid w:val="00151AC6"/>
    <w:rsid w:val="00151CCE"/>
    <w:rsid w:val="00152858"/>
    <w:rsid w:val="00152E11"/>
    <w:rsid w:val="001535EB"/>
    <w:rsid w:val="001538E4"/>
    <w:rsid w:val="00154434"/>
    <w:rsid w:val="00154514"/>
    <w:rsid w:val="00154A89"/>
    <w:rsid w:val="00154AAE"/>
    <w:rsid w:val="00155817"/>
    <w:rsid w:val="00155924"/>
    <w:rsid w:val="00156269"/>
    <w:rsid w:val="001564B2"/>
    <w:rsid w:val="00156963"/>
    <w:rsid w:val="00157111"/>
    <w:rsid w:val="001571BA"/>
    <w:rsid w:val="00160D48"/>
    <w:rsid w:val="0016156B"/>
    <w:rsid w:val="00162EE7"/>
    <w:rsid w:val="00163A9A"/>
    <w:rsid w:val="00163CA9"/>
    <w:rsid w:val="00163EFF"/>
    <w:rsid w:val="001640A1"/>
    <w:rsid w:val="00164E56"/>
    <w:rsid w:val="00166743"/>
    <w:rsid w:val="00166755"/>
    <w:rsid w:val="001668B8"/>
    <w:rsid w:val="00166D16"/>
    <w:rsid w:val="00166E98"/>
    <w:rsid w:val="00167593"/>
    <w:rsid w:val="00167832"/>
    <w:rsid w:val="00167F8B"/>
    <w:rsid w:val="00170742"/>
    <w:rsid w:val="0017114B"/>
    <w:rsid w:val="00171AD0"/>
    <w:rsid w:val="00171D63"/>
    <w:rsid w:val="00172A27"/>
    <w:rsid w:val="00172C46"/>
    <w:rsid w:val="00172D74"/>
    <w:rsid w:val="001735AA"/>
    <w:rsid w:val="001739FA"/>
    <w:rsid w:val="001749DD"/>
    <w:rsid w:val="00175B95"/>
    <w:rsid w:val="00176F36"/>
    <w:rsid w:val="00177A2F"/>
    <w:rsid w:val="001800CF"/>
    <w:rsid w:val="001803E4"/>
    <w:rsid w:val="00181A32"/>
    <w:rsid w:val="00181FE3"/>
    <w:rsid w:val="00182167"/>
    <w:rsid w:val="00182DCF"/>
    <w:rsid w:val="00182E8C"/>
    <w:rsid w:val="0018312D"/>
    <w:rsid w:val="001831A3"/>
    <w:rsid w:val="00183561"/>
    <w:rsid w:val="001838E1"/>
    <w:rsid w:val="00183AEA"/>
    <w:rsid w:val="00183BF7"/>
    <w:rsid w:val="00183C32"/>
    <w:rsid w:val="00183CB9"/>
    <w:rsid w:val="00184FAA"/>
    <w:rsid w:val="00185567"/>
    <w:rsid w:val="001857AC"/>
    <w:rsid w:val="001858C5"/>
    <w:rsid w:val="0018661B"/>
    <w:rsid w:val="00187170"/>
    <w:rsid w:val="00190615"/>
    <w:rsid w:val="001909DE"/>
    <w:rsid w:val="00190FD8"/>
    <w:rsid w:val="001912BA"/>
    <w:rsid w:val="00191DBC"/>
    <w:rsid w:val="00192C12"/>
    <w:rsid w:val="00193248"/>
    <w:rsid w:val="001932FA"/>
    <w:rsid w:val="00193487"/>
    <w:rsid w:val="00193907"/>
    <w:rsid w:val="00194C01"/>
    <w:rsid w:val="00195612"/>
    <w:rsid w:val="0019590F"/>
    <w:rsid w:val="00196B56"/>
    <w:rsid w:val="00197096"/>
    <w:rsid w:val="00197465"/>
    <w:rsid w:val="001975C0"/>
    <w:rsid w:val="00197AA6"/>
    <w:rsid w:val="001A08FB"/>
    <w:rsid w:val="001A1EAA"/>
    <w:rsid w:val="001A29B9"/>
    <w:rsid w:val="001A2AA9"/>
    <w:rsid w:val="001A310F"/>
    <w:rsid w:val="001A3823"/>
    <w:rsid w:val="001A4F40"/>
    <w:rsid w:val="001A5752"/>
    <w:rsid w:val="001A5F69"/>
    <w:rsid w:val="001A60D3"/>
    <w:rsid w:val="001A7215"/>
    <w:rsid w:val="001A7D05"/>
    <w:rsid w:val="001B2A51"/>
    <w:rsid w:val="001B30D9"/>
    <w:rsid w:val="001B3172"/>
    <w:rsid w:val="001B3272"/>
    <w:rsid w:val="001B36F1"/>
    <w:rsid w:val="001B3733"/>
    <w:rsid w:val="001B38F8"/>
    <w:rsid w:val="001B4212"/>
    <w:rsid w:val="001B596F"/>
    <w:rsid w:val="001B6218"/>
    <w:rsid w:val="001B64C2"/>
    <w:rsid w:val="001B691A"/>
    <w:rsid w:val="001B6EEC"/>
    <w:rsid w:val="001B723E"/>
    <w:rsid w:val="001B7A22"/>
    <w:rsid w:val="001C09EE"/>
    <w:rsid w:val="001C0D4C"/>
    <w:rsid w:val="001C0E82"/>
    <w:rsid w:val="001C2252"/>
    <w:rsid w:val="001C27C6"/>
    <w:rsid w:val="001C2922"/>
    <w:rsid w:val="001C3856"/>
    <w:rsid w:val="001C3A74"/>
    <w:rsid w:val="001C5F68"/>
    <w:rsid w:val="001C6789"/>
    <w:rsid w:val="001C6B8F"/>
    <w:rsid w:val="001C6CC4"/>
    <w:rsid w:val="001C72F1"/>
    <w:rsid w:val="001C7BAA"/>
    <w:rsid w:val="001D0A4E"/>
    <w:rsid w:val="001D1F59"/>
    <w:rsid w:val="001D2FD7"/>
    <w:rsid w:val="001D38F2"/>
    <w:rsid w:val="001D3BA6"/>
    <w:rsid w:val="001D3C6F"/>
    <w:rsid w:val="001D493C"/>
    <w:rsid w:val="001D54D0"/>
    <w:rsid w:val="001D5925"/>
    <w:rsid w:val="001D5CFC"/>
    <w:rsid w:val="001D5D74"/>
    <w:rsid w:val="001D624B"/>
    <w:rsid w:val="001D6356"/>
    <w:rsid w:val="001D6E3A"/>
    <w:rsid w:val="001E01F3"/>
    <w:rsid w:val="001E04DD"/>
    <w:rsid w:val="001E0744"/>
    <w:rsid w:val="001E17FA"/>
    <w:rsid w:val="001E1FA3"/>
    <w:rsid w:val="001E2588"/>
    <w:rsid w:val="001E31E1"/>
    <w:rsid w:val="001E3438"/>
    <w:rsid w:val="001E3442"/>
    <w:rsid w:val="001E35D9"/>
    <w:rsid w:val="001E42E8"/>
    <w:rsid w:val="001E44DD"/>
    <w:rsid w:val="001E55DE"/>
    <w:rsid w:val="001E5DD5"/>
    <w:rsid w:val="001E5E51"/>
    <w:rsid w:val="001E60D1"/>
    <w:rsid w:val="001E6280"/>
    <w:rsid w:val="001E62DD"/>
    <w:rsid w:val="001E687E"/>
    <w:rsid w:val="001E7D52"/>
    <w:rsid w:val="001F386D"/>
    <w:rsid w:val="001F38AB"/>
    <w:rsid w:val="001F3ED4"/>
    <w:rsid w:val="001F4FE0"/>
    <w:rsid w:val="001F4FFC"/>
    <w:rsid w:val="001F5406"/>
    <w:rsid w:val="001F5653"/>
    <w:rsid w:val="001F5805"/>
    <w:rsid w:val="001F5AA1"/>
    <w:rsid w:val="001F5CA1"/>
    <w:rsid w:val="001F5D65"/>
    <w:rsid w:val="001F5EEB"/>
    <w:rsid w:val="001F5F3D"/>
    <w:rsid w:val="001F6744"/>
    <w:rsid w:val="001F686C"/>
    <w:rsid w:val="001F6DDF"/>
    <w:rsid w:val="001F6DEF"/>
    <w:rsid w:val="001F7A6F"/>
    <w:rsid w:val="002003B7"/>
    <w:rsid w:val="00200BA7"/>
    <w:rsid w:val="002011DA"/>
    <w:rsid w:val="002015C2"/>
    <w:rsid w:val="0020167C"/>
    <w:rsid w:val="00201736"/>
    <w:rsid w:val="00202349"/>
    <w:rsid w:val="002041B7"/>
    <w:rsid w:val="0020552E"/>
    <w:rsid w:val="00207860"/>
    <w:rsid w:val="00207B67"/>
    <w:rsid w:val="0021005C"/>
    <w:rsid w:val="0021030F"/>
    <w:rsid w:val="002109E8"/>
    <w:rsid w:val="00210E45"/>
    <w:rsid w:val="00210F79"/>
    <w:rsid w:val="0021151D"/>
    <w:rsid w:val="00211C36"/>
    <w:rsid w:val="00212E63"/>
    <w:rsid w:val="0021352E"/>
    <w:rsid w:val="00213881"/>
    <w:rsid w:val="00214484"/>
    <w:rsid w:val="00215028"/>
    <w:rsid w:val="002165E1"/>
    <w:rsid w:val="002171BA"/>
    <w:rsid w:val="002177C8"/>
    <w:rsid w:val="00217A60"/>
    <w:rsid w:val="002204CF"/>
    <w:rsid w:val="00220904"/>
    <w:rsid w:val="00220E2C"/>
    <w:rsid w:val="0022145F"/>
    <w:rsid w:val="0022162F"/>
    <w:rsid w:val="002220AC"/>
    <w:rsid w:val="0022229F"/>
    <w:rsid w:val="00222C78"/>
    <w:rsid w:val="00223EFC"/>
    <w:rsid w:val="00224BF2"/>
    <w:rsid w:val="00224E5D"/>
    <w:rsid w:val="002255B4"/>
    <w:rsid w:val="00225B74"/>
    <w:rsid w:val="00225F72"/>
    <w:rsid w:val="00226641"/>
    <w:rsid w:val="00230566"/>
    <w:rsid w:val="00232A47"/>
    <w:rsid w:val="00233DF0"/>
    <w:rsid w:val="0023404E"/>
    <w:rsid w:val="00234573"/>
    <w:rsid w:val="002359E6"/>
    <w:rsid w:val="00235AE2"/>
    <w:rsid w:val="0023602E"/>
    <w:rsid w:val="00236AE0"/>
    <w:rsid w:val="0023700F"/>
    <w:rsid w:val="00237156"/>
    <w:rsid w:val="00237D7E"/>
    <w:rsid w:val="00237F2B"/>
    <w:rsid w:val="00237FA1"/>
    <w:rsid w:val="00240AB7"/>
    <w:rsid w:val="0024156C"/>
    <w:rsid w:val="0024416F"/>
    <w:rsid w:val="002442E6"/>
    <w:rsid w:val="00244838"/>
    <w:rsid w:val="002453ED"/>
    <w:rsid w:val="00245594"/>
    <w:rsid w:val="002462E8"/>
    <w:rsid w:val="00250BA0"/>
    <w:rsid w:val="00250BC2"/>
    <w:rsid w:val="0025130F"/>
    <w:rsid w:val="00251DC1"/>
    <w:rsid w:val="00251F94"/>
    <w:rsid w:val="00252134"/>
    <w:rsid w:val="00253CF3"/>
    <w:rsid w:val="002542A9"/>
    <w:rsid w:val="00254B45"/>
    <w:rsid w:val="0025544D"/>
    <w:rsid w:val="002559BA"/>
    <w:rsid w:val="00255D72"/>
    <w:rsid w:val="00255EB5"/>
    <w:rsid w:val="002561D9"/>
    <w:rsid w:val="002563EC"/>
    <w:rsid w:val="002565BA"/>
    <w:rsid w:val="00256745"/>
    <w:rsid w:val="002567E1"/>
    <w:rsid w:val="00256C8E"/>
    <w:rsid w:val="00256FDC"/>
    <w:rsid w:val="00262288"/>
    <w:rsid w:val="0026294A"/>
    <w:rsid w:val="00262A61"/>
    <w:rsid w:val="002631CC"/>
    <w:rsid w:val="0026354F"/>
    <w:rsid w:val="002640C1"/>
    <w:rsid w:val="00264210"/>
    <w:rsid w:val="00265336"/>
    <w:rsid w:val="00265685"/>
    <w:rsid w:val="00265CB5"/>
    <w:rsid w:val="00266983"/>
    <w:rsid w:val="0026756B"/>
    <w:rsid w:val="00267DC9"/>
    <w:rsid w:val="00270ACA"/>
    <w:rsid w:val="00270D85"/>
    <w:rsid w:val="002717F5"/>
    <w:rsid w:val="00271C35"/>
    <w:rsid w:val="00272D4F"/>
    <w:rsid w:val="002733AC"/>
    <w:rsid w:val="00273BA6"/>
    <w:rsid w:val="00273F71"/>
    <w:rsid w:val="00274AF7"/>
    <w:rsid w:val="0027525B"/>
    <w:rsid w:val="00275BEB"/>
    <w:rsid w:val="00276145"/>
    <w:rsid w:val="00276C25"/>
    <w:rsid w:val="00276D6B"/>
    <w:rsid w:val="00276E5F"/>
    <w:rsid w:val="00280129"/>
    <w:rsid w:val="00281733"/>
    <w:rsid w:val="00281CB0"/>
    <w:rsid w:val="00282001"/>
    <w:rsid w:val="00282A3C"/>
    <w:rsid w:val="00283E07"/>
    <w:rsid w:val="002845B8"/>
    <w:rsid w:val="00285556"/>
    <w:rsid w:val="00285D42"/>
    <w:rsid w:val="00285F97"/>
    <w:rsid w:val="0028711F"/>
    <w:rsid w:val="00287334"/>
    <w:rsid w:val="00287369"/>
    <w:rsid w:val="00290820"/>
    <w:rsid w:val="00291DF1"/>
    <w:rsid w:val="00292A6F"/>
    <w:rsid w:val="00292D12"/>
    <w:rsid w:val="00292DD4"/>
    <w:rsid w:val="002934CE"/>
    <w:rsid w:val="00293B05"/>
    <w:rsid w:val="002946BA"/>
    <w:rsid w:val="002952E2"/>
    <w:rsid w:val="00295CE5"/>
    <w:rsid w:val="00295FA4"/>
    <w:rsid w:val="002966BF"/>
    <w:rsid w:val="00296B7D"/>
    <w:rsid w:val="00296BB5"/>
    <w:rsid w:val="00297212"/>
    <w:rsid w:val="00297D6C"/>
    <w:rsid w:val="002A065F"/>
    <w:rsid w:val="002A0AF0"/>
    <w:rsid w:val="002A26D7"/>
    <w:rsid w:val="002A451D"/>
    <w:rsid w:val="002A4B29"/>
    <w:rsid w:val="002A62F5"/>
    <w:rsid w:val="002A7499"/>
    <w:rsid w:val="002A757F"/>
    <w:rsid w:val="002A7609"/>
    <w:rsid w:val="002A7C8F"/>
    <w:rsid w:val="002A7DD2"/>
    <w:rsid w:val="002B02C0"/>
    <w:rsid w:val="002B0683"/>
    <w:rsid w:val="002B0D6B"/>
    <w:rsid w:val="002B1B9D"/>
    <w:rsid w:val="002B25FC"/>
    <w:rsid w:val="002B27FE"/>
    <w:rsid w:val="002B32D5"/>
    <w:rsid w:val="002B38C3"/>
    <w:rsid w:val="002B45AA"/>
    <w:rsid w:val="002B5B11"/>
    <w:rsid w:val="002B5B23"/>
    <w:rsid w:val="002B66ED"/>
    <w:rsid w:val="002B6C73"/>
    <w:rsid w:val="002B6EC7"/>
    <w:rsid w:val="002B7F04"/>
    <w:rsid w:val="002C014F"/>
    <w:rsid w:val="002C0B98"/>
    <w:rsid w:val="002C1DC2"/>
    <w:rsid w:val="002C1E16"/>
    <w:rsid w:val="002C36F6"/>
    <w:rsid w:val="002C3C6E"/>
    <w:rsid w:val="002C485F"/>
    <w:rsid w:val="002C54EF"/>
    <w:rsid w:val="002C5714"/>
    <w:rsid w:val="002C676B"/>
    <w:rsid w:val="002C6A81"/>
    <w:rsid w:val="002C6AB1"/>
    <w:rsid w:val="002C6F4B"/>
    <w:rsid w:val="002C72F4"/>
    <w:rsid w:val="002C7F5E"/>
    <w:rsid w:val="002D10FA"/>
    <w:rsid w:val="002D11A2"/>
    <w:rsid w:val="002D14C4"/>
    <w:rsid w:val="002D33DD"/>
    <w:rsid w:val="002D36A0"/>
    <w:rsid w:val="002D3A5A"/>
    <w:rsid w:val="002D3A75"/>
    <w:rsid w:val="002D60AA"/>
    <w:rsid w:val="002D665A"/>
    <w:rsid w:val="002E0615"/>
    <w:rsid w:val="002E1C3D"/>
    <w:rsid w:val="002E2FDA"/>
    <w:rsid w:val="002E3C92"/>
    <w:rsid w:val="002E4A58"/>
    <w:rsid w:val="002E4EEE"/>
    <w:rsid w:val="002E62D3"/>
    <w:rsid w:val="002E6739"/>
    <w:rsid w:val="002E68E6"/>
    <w:rsid w:val="002E6E15"/>
    <w:rsid w:val="002E7213"/>
    <w:rsid w:val="002E7625"/>
    <w:rsid w:val="002E7693"/>
    <w:rsid w:val="002E7FFA"/>
    <w:rsid w:val="002F0859"/>
    <w:rsid w:val="002F0FFD"/>
    <w:rsid w:val="002F28CB"/>
    <w:rsid w:val="002F2DCA"/>
    <w:rsid w:val="002F31FD"/>
    <w:rsid w:val="002F3719"/>
    <w:rsid w:val="002F4482"/>
    <w:rsid w:val="002F523D"/>
    <w:rsid w:val="002F61EF"/>
    <w:rsid w:val="002F630E"/>
    <w:rsid w:val="002F69E9"/>
    <w:rsid w:val="002F7929"/>
    <w:rsid w:val="0030255D"/>
    <w:rsid w:val="00302B75"/>
    <w:rsid w:val="0030325F"/>
    <w:rsid w:val="0030347F"/>
    <w:rsid w:val="00303528"/>
    <w:rsid w:val="003035E6"/>
    <w:rsid w:val="00303CBD"/>
    <w:rsid w:val="00304F30"/>
    <w:rsid w:val="00307119"/>
    <w:rsid w:val="00310321"/>
    <w:rsid w:val="00311CDE"/>
    <w:rsid w:val="00311D3C"/>
    <w:rsid w:val="00311F03"/>
    <w:rsid w:val="00311F8E"/>
    <w:rsid w:val="0031227D"/>
    <w:rsid w:val="00312854"/>
    <w:rsid w:val="00312DA7"/>
    <w:rsid w:val="003131A0"/>
    <w:rsid w:val="003131EA"/>
    <w:rsid w:val="0031418B"/>
    <w:rsid w:val="003149DC"/>
    <w:rsid w:val="00314E2F"/>
    <w:rsid w:val="00315589"/>
    <w:rsid w:val="00315C60"/>
    <w:rsid w:val="003175D0"/>
    <w:rsid w:val="003205DF"/>
    <w:rsid w:val="00320DF2"/>
    <w:rsid w:val="00321671"/>
    <w:rsid w:val="003228F9"/>
    <w:rsid w:val="00322912"/>
    <w:rsid w:val="00322921"/>
    <w:rsid w:val="00322C10"/>
    <w:rsid w:val="003246C2"/>
    <w:rsid w:val="00324BB7"/>
    <w:rsid w:val="003254C7"/>
    <w:rsid w:val="00325FC7"/>
    <w:rsid w:val="00326038"/>
    <w:rsid w:val="003260D4"/>
    <w:rsid w:val="00326654"/>
    <w:rsid w:val="00326B15"/>
    <w:rsid w:val="00326D64"/>
    <w:rsid w:val="00326E3F"/>
    <w:rsid w:val="00327164"/>
    <w:rsid w:val="00330D60"/>
    <w:rsid w:val="003314F5"/>
    <w:rsid w:val="0033267E"/>
    <w:rsid w:val="00333284"/>
    <w:rsid w:val="00333958"/>
    <w:rsid w:val="003356A6"/>
    <w:rsid w:val="00336D0D"/>
    <w:rsid w:val="003409EC"/>
    <w:rsid w:val="003417A6"/>
    <w:rsid w:val="00341A36"/>
    <w:rsid w:val="003422A5"/>
    <w:rsid w:val="0034283C"/>
    <w:rsid w:val="003434DC"/>
    <w:rsid w:val="00344201"/>
    <w:rsid w:val="0034426F"/>
    <w:rsid w:val="003447AA"/>
    <w:rsid w:val="0034493C"/>
    <w:rsid w:val="00344C2A"/>
    <w:rsid w:val="00344D1D"/>
    <w:rsid w:val="00344D91"/>
    <w:rsid w:val="00345227"/>
    <w:rsid w:val="003452FD"/>
    <w:rsid w:val="00345DA8"/>
    <w:rsid w:val="0034666E"/>
    <w:rsid w:val="003466C3"/>
    <w:rsid w:val="00347031"/>
    <w:rsid w:val="0034721E"/>
    <w:rsid w:val="00347286"/>
    <w:rsid w:val="0034742F"/>
    <w:rsid w:val="00347B2B"/>
    <w:rsid w:val="00350735"/>
    <w:rsid w:val="00350C22"/>
    <w:rsid w:val="0035101F"/>
    <w:rsid w:val="003512A3"/>
    <w:rsid w:val="00351377"/>
    <w:rsid w:val="00351640"/>
    <w:rsid w:val="00352BC7"/>
    <w:rsid w:val="00353306"/>
    <w:rsid w:val="003545BA"/>
    <w:rsid w:val="003546CB"/>
    <w:rsid w:val="00355190"/>
    <w:rsid w:val="00355AF0"/>
    <w:rsid w:val="00355EDD"/>
    <w:rsid w:val="003560BE"/>
    <w:rsid w:val="00356636"/>
    <w:rsid w:val="00357175"/>
    <w:rsid w:val="0036128E"/>
    <w:rsid w:val="00361B99"/>
    <w:rsid w:val="00364B57"/>
    <w:rsid w:val="00364CA1"/>
    <w:rsid w:val="0036545A"/>
    <w:rsid w:val="003662D3"/>
    <w:rsid w:val="003662E3"/>
    <w:rsid w:val="00366754"/>
    <w:rsid w:val="0036705B"/>
    <w:rsid w:val="0036753D"/>
    <w:rsid w:val="003704BD"/>
    <w:rsid w:val="003706F1"/>
    <w:rsid w:val="00370929"/>
    <w:rsid w:val="00370942"/>
    <w:rsid w:val="00370AD7"/>
    <w:rsid w:val="00370D8B"/>
    <w:rsid w:val="00372375"/>
    <w:rsid w:val="00372CE7"/>
    <w:rsid w:val="00372F8D"/>
    <w:rsid w:val="00373C6C"/>
    <w:rsid w:val="00373E2C"/>
    <w:rsid w:val="003740FF"/>
    <w:rsid w:val="00374437"/>
    <w:rsid w:val="00374748"/>
    <w:rsid w:val="00374CEB"/>
    <w:rsid w:val="00374F0E"/>
    <w:rsid w:val="003766F9"/>
    <w:rsid w:val="003773E6"/>
    <w:rsid w:val="0037746A"/>
    <w:rsid w:val="00380D1D"/>
    <w:rsid w:val="0038156B"/>
    <w:rsid w:val="00381DCD"/>
    <w:rsid w:val="003827F6"/>
    <w:rsid w:val="003834A1"/>
    <w:rsid w:val="00383955"/>
    <w:rsid w:val="00385C7A"/>
    <w:rsid w:val="00385FD4"/>
    <w:rsid w:val="003863B2"/>
    <w:rsid w:val="00386722"/>
    <w:rsid w:val="00386CD0"/>
    <w:rsid w:val="00386FF0"/>
    <w:rsid w:val="00392669"/>
    <w:rsid w:val="00393076"/>
    <w:rsid w:val="003938CE"/>
    <w:rsid w:val="00393E36"/>
    <w:rsid w:val="00394175"/>
    <w:rsid w:val="00394E63"/>
    <w:rsid w:val="00395083"/>
    <w:rsid w:val="00395BA9"/>
    <w:rsid w:val="00396150"/>
    <w:rsid w:val="0039618A"/>
    <w:rsid w:val="0039623C"/>
    <w:rsid w:val="00396F4E"/>
    <w:rsid w:val="003972DF"/>
    <w:rsid w:val="00397DE5"/>
    <w:rsid w:val="003A04C9"/>
    <w:rsid w:val="003A067F"/>
    <w:rsid w:val="003A13B3"/>
    <w:rsid w:val="003A18E4"/>
    <w:rsid w:val="003A2775"/>
    <w:rsid w:val="003A43E1"/>
    <w:rsid w:val="003A699E"/>
    <w:rsid w:val="003A6D0D"/>
    <w:rsid w:val="003A7D09"/>
    <w:rsid w:val="003B066E"/>
    <w:rsid w:val="003B07C3"/>
    <w:rsid w:val="003B0C15"/>
    <w:rsid w:val="003B0CB8"/>
    <w:rsid w:val="003B0E6B"/>
    <w:rsid w:val="003B1FC1"/>
    <w:rsid w:val="003B24C5"/>
    <w:rsid w:val="003B2880"/>
    <w:rsid w:val="003B2E57"/>
    <w:rsid w:val="003B3910"/>
    <w:rsid w:val="003B497B"/>
    <w:rsid w:val="003B4F01"/>
    <w:rsid w:val="003B5468"/>
    <w:rsid w:val="003B55B3"/>
    <w:rsid w:val="003B643A"/>
    <w:rsid w:val="003B64F6"/>
    <w:rsid w:val="003B7504"/>
    <w:rsid w:val="003C0466"/>
    <w:rsid w:val="003C06AD"/>
    <w:rsid w:val="003C07B8"/>
    <w:rsid w:val="003C086A"/>
    <w:rsid w:val="003C154C"/>
    <w:rsid w:val="003C1FFC"/>
    <w:rsid w:val="003C28DE"/>
    <w:rsid w:val="003C3778"/>
    <w:rsid w:val="003C3C07"/>
    <w:rsid w:val="003C3D6E"/>
    <w:rsid w:val="003C41F8"/>
    <w:rsid w:val="003C4F9D"/>
    <w:rsid w:val="003C5BE9"/>
    <w:rsid w:val="003C62C2"/>
    <w:rsid w:val="003C685F"/>
    <w:rsid w:val="003C78A7"/>
    <w:rsid w:val="003C78ED"/>
    <w:rsid w:val="003D0E2F"/>
    <w:rsid w:val="003D14AB"/>
    <w:rsid w:val="003D24CB"/>
    <w:rsid w:val="003D2728"/>
    <w:rsid w:val="003D2E16"/>
    <w:rsid w:val="003D2E67"/>
    <w:rsid w:val="003D3420"/>
    <w:rsid w:val="003D4ECE"/>
    <w:rsid w:val="003D585F"/>
    <w:rsid w:val="003D5C81"/>
    <w:rsid w:val="003D7AFF"/>
    <w:rsid w:val="003D7F5F"/>
    <w:rsid w:val="003E028C"/>
    <w:rsid w:val="003E0534"/>
    <w:rsid w:val="003E0B97"/>
    <w:rsid w:val="003E0FE3"/>
    <w:rsid w:val="003E1568"/>
    <w:rsid w:val="003E178C"/>
    <w:rsid w:val="003E20EA"/>
    <w:rsid w:val="003E38CF"/>
    <w:rsid w:val="003E3E7D"/>
    <w:rsid w:val="003E4628"/>
    <w:rsid w:val="003E46BA"/>
    <w:rsid w:val="003E4C42"/>
    <w:rsid w:val="003E5371"/>
    <w:rsid w:val="003E53D1"/>
    <w:rsid w:val="003E65D9"/>
    <w:rsid w:val="003E7B79"/>
    <w:rsid w:val="003E7BCC"/>
    <w:rsid w:val="003E7CE6"/>
    <w:rsid w:val="003F260B"/>
    <w:rsid w:val="003F2754"/>
    <w:rsid w:val="003F28EF"/>
    <w:rsid w:val="003F2B55"/>
    <w:rsid w:val="003F33BF"/>
    <w:rsid w:val="003F4195"/>
    <w:rsid w:val="003F41A2"/>
    <w:rsid w:val="003F44FC"/>
    <w:rsid w:val="003F465A"/>
    <w:rsid w:val="003F46F2"/>
    <w:rsid w:val="003F46FE"/>
    <w:rsid w:val="003F4C88"/>
    <w:rsid w:val="003F4FED"/>
    <w:rsid w:val="003F5C9F"/>
    <w:rsid w:val="003F703C"/>
    <w:rsid w:val="003F79C1"/>
    <w:rsid w:val="003F7FB7"/>
    <w:rsid w:val="0040046D"/>
    <w:rsid w:val="00400496"/>
    <w:rsid w:val="00401231"/>
    <w:rsid w:val="0040215E"/>
    <w:rsid w:val="0040252D"/>
    <w:rsid w:val="0040261B"/>
    <w:rsid w:val="00402811"/>
    <w:rsid w:val="00402885"/>
    <w:rsid w:val="00403265"/>
    <w:rsid w:val="00403CFD"/>
    <w:rsid w:val="00404216"/>
    <w:rsid w:val="00405471"/>
    <w:rsid w:val="00405900"/>
    <w:rsid w:val="0040637A"/>
    <w:rsid w:val="004064A5"/>
    <w:rsid w:val="00407410"/>
    <w:rsid w:val="0040771C"/>
    <w:rsid w:val="00407A97"/>
    <w:rsid w:val="004102B7"/>
    <w:rsid w:val="004105C1"/>
    <w:rsid w:val="0041168E"/>
    <w:rsid w:val="00411766"/>
    <w:rsid w:val="00412164"/>
    <w:rsid w:val="00412603"/>
    <w:rsid w:val="00413010"/>
    <w:rsid w:val="00413130"/>
    <w:rsid w:val="00413E8E"/>
    <w:rsid w:val="004146B7"/>
    <w:rsid w:val="004161C9"/>
    <w:rsid w:val="00416A48"/>
    <w:rsid w:val="00416FE6"/>
    <w:rsid w:val="00417552"/>
    <w:rsid w:val="004205A0"/>
    <w:rsid w:val="00420E2A"/>
    <w:rsid w:val="00420FF3"/>
    <w:rsid w:val="0042168A"/>
    <w:rsid w:val="00421735"/>
    <w:rsid w:val="00421F20"/>
    <w:rsid w:val="0042260F"/>
    <w:rsid w:val="0042382D"/>
    <w:rsid w:val="0042405B"/>
    <w:rsid w:val="00424437"/>
    <w:rsid w:val="00424A4B"/>
    <w:rsid w:val="00424B75"/>
    <w:rsid w:val="00424CD3"/>
    <w:rsid w:val="00425D43"/>
    <w:rsid w:val="004267A8"/>
    <w:rsid w:val="0042787C"/>
    <w:rsid w:val="00427A3B"/>
    <w:rsid w:val="004315D6"/>
    <w:rsid w:val="00433925"/>
    <w:rsid w:val="00433D41"/>
    <w:rsid w:val="0043458E"/>
    <w:rsid w:val="0043532A"/>
    <w:rsid w:val="00435DC9"/>
    <w:rsid w:val="004374D1"/>
    <w:rsid w:val="00437DDE"/>
    <w:rsid w:val="00437E15"/>
    <w:rsid w:val="004403B5"/>
    <w:rsid w:val="0044041D"/>
    <w:rsid w:val="004427B2"/>
    <w:rsid w:val="00442F59"/>
    <w:rsid w:val="00442FBF"/>
    <w:rsid w:val="00443431"/>
    <w:rsid w:val="00443667"/>
    <w:rsid w:val="00443757"/>
    <w:rsid w:val="00444B0E"/>
    <w:rsid w:val="00445A4E"/>
    <w:rsid w:val="00445C3F"/>
    <w:rsid w:val="00445D49"/>
    <w:rsid w:val="00447863"/>
    <w:rsid w:val="0045058F"/>
    <w:rsid w:val="00450CC1"/>
    <w:rsid w:val="00451723"/>
    <w:rsid w:val="00451800"/>
    <w:rsid w:val="004520CF"/>
    <w:rsid w:val="00452516"/>
    <w:rsid w:val="0045279B"/>
    <w:rsid w:val="0045292D"/>
    <w:rsid w:val="00453AB2"/>
    <w:rsid w:val="00454E0C"/>
    <w:rsid w:val="00455B6A"/>
    <w:rsid w:val="0045758B"/>
    <w:rsid w:val="00457D31"/>
    <w:rsid w:val="004609BF"/>
    <w:rsid w:val="00461B7E"/>
    <w:rsid w:val="00464647"/>
    <w:rsid w:val="004647E7"/>
    <w:rsid w:val="00464F56"/>
    <w:rsid w:val="0046513F"/>
    <w:rsid w:val="0046557A"/>
    <w:rsid w:val="00465DB4"/>
    <w:rsid w:val="0046642A"/>
    <w:rsid w:val="00467287"/>
    <w:rsid w:val="004677EC"/>
    <w:rsid w:val="00467D26"/>
    <w:rsid w:val="00470A51"/>
    <w:rsid w:val="004723D0"/>
    <w:rsid w:val="0047271D"/>
    <w:rsid w:val="00472BB7"/>
    <w:rsid w:val="004733A3"/>
    <w:rsid w:val="004741C2"/>
    <w:rsid w:val="00474D24"/>
    <w:rsid w:val="00474FE5"/>
    <w:rsid w:val="004752A7"/>
    <w:rsid w:val="00475628"/>
    <w:rsid w:val="00475674"/>
    <w:rsid w:val="00475881"/>
    <w:rsid w:val="00476BC4"/>
    <w:rsid w:val="00480111"/>
    <w:rsid w:val="00480190"/>
    <w:rsid w:val="004801CC"/>
    <w:rsid w:val="004804AF"/>
    <w:rsid w:val="00480534"/>
    <w:rsid w:val="00481094"/>
    <w:rsid w:val="0048251B"/>
    <w:rsid w:val="00482B8F"/>
    <w:rsid w:val="00483B4D"/>
    <w:rsid w:val="00484E10"/>
    <w:rsid w:val="0048563E"/>
    <w:rsid w:val="004862A6"/>
    <w:rsid w:val="00486590"/>
    <w:rsid w:val="00486916"/>
    <w:rsid w:val="00486BEB"/>
    <w:rsid w:val="00487348"/>
    <w:rsid w:val="004876D6"/>
    <w:rsid w:val="00490F7D"/>
    <w:rsid w:val="00492023"/>
    <w:rsid w:val="00492383"/>
    <w:rsid w:val="004924D8"/>
    <w:rsid w:val="00492C80"/>
    <w:rsid w:val="00492EB3"/>
    <w:rsid w:val="004934B6"/>
    <w:rsid w:val="0049395B"/>
    <w:rsid w:val="00493A64"/>
    <w:rsid w:val="00493CE5"/>
    <w:rsid w:val="00493F69"/>
    <w:rsid w:val="0049752C"/>
    <w:rsid w:val="004A1048"/>
    <w:rsid w:val="004A185B"/>
    <w:rsid w:val="004A2039"/>
    <w:rsid w:val="004A2428"/>
    <w:rsid w:val="004A2B25"/>
    <w:rsid w:val="004A2E09"/>
    <w:rsid w:val="004A3335"/>
    <w:rsid w:val="004A343A"/>
    <w:rsid w:val="004A3D5A"/>
    <w:rsid w:val="004A41DF"/>
    <w:rsid w:val="004A4779"/>
    <w:rsid w:val="004A483A"/>
    <w:rsid w:val="004A4976"/>
    <w:rsid w:val="004A5EA6"/>
    <w:rsid w:val="004A68C4"/>
    <w:rsid w:val="004A6AB3"/>
    <w:rsid w:val="004A6F22"/>
    <w:rsid w:val="004A746C"/>
    <w:rsid w:val="004B1BD5"/>
    <w:rsid w:val="004B1D1A"/>
    <w:rsid w:val="004B2198"/>
    <w:rsid w:val="004B25EF"/>
    <w:rsid w:val="004B2C1D"/>
    <w:rsid w:val="004B2C83"/>
    <w:rsid w:val="004B45D1"/>
    <w:rsid w:val="004B5F16"/>
    <w:rsid w:val="004B6014"/>
    <w:rsid w:val="004B7631"/>
    <w:rsid w:val="004B7887"/>
    <w:rsid w:val="004B7F79"/>
    <w:rsid w:val="004B7FD6"/>
    <w:rsid w:val="004C0109"/>
    <w:rsid w:val="004C0ABF"/>
    <w:rsid w:val="004C0BA2"/>
    <w:rsid w:val="004C144E"/>
    <w:rsid w:val="004C1C8C"/>
    <w:rsid w:val="004C1CAC"/>
    <w:rsid w:val="004C2932"/>
    <w:rsid w:val="004C3487"/>
    <w:rsid w:val="004C4660"/>
    <w:rsid w:val="004C4A62"/>
    <w:rsid w:val="004C57BD"/>
    <w:rsid w:val="004C60B7"/>
    <w:rsid w:val="004C66BF"/>
    <w:rsid w:val="004C6C13"/>
    <w:rsid w:val="004C70EB"/>
    <w:rsid w:val="004C7B9F"/>
    <w:rsid w:val="004D14EF"/>
    <w:rsid w:val="004D17B3"/>
    <w:rsid w:val="004D296D"/>
    <w:rsid w:val="004D31AF"/>
    <w:rsid w:val="004D435B"/>
    <w:rsid w:val="004D443B"/>
    <w:rsid w:val="004D4BDE"/>
    <w:rsid w:val="004D4EB4"/>
    <w:rsid w:val="004D6F6F"/>
    <w:rsid w:val="004D73B8"/>
    <w:rsid w:val="004D784F"/>
    <w:rsid w:val="004D7CDE"/>
    <w:rsid w:val="004E02C8"/>
    <w:rsid w:val="004E03D5"/>
    <w:rsid w:val="004E0726"/>
    <w:rsid w:val="004E09D2"/>
    <w:rsid w:val="004E17C7"/>
    <w:rsid w:val="004E223E"/>
    <w:rsid w:val="004E2273"/>
    <w:rsid w:val="004E22B6"/>
    <w:rsid w:val="004E2A74"/>
    <w:rsid w:val="004E48C0"/>
    <w:rsid w:val="004E5910"/>
    <w:rsid w:val="004E597E"/>
    <w:rsid w:val="004E5AEA"/>
    <w:rsid w:val="004E695D"/>
    <w:rsid w:val="004E6DA8"/>
    <w:rsid w:val="004E740F"/>
    <w:rsid w:val="004E7C91"/>
    <w:rsid w:val="004F02E9"/>
    <w:rsid w:val="004F0976"/>
    <w:rsid w:val="004F1088"/>
    <w:rsid w:val="004F143E"/>
    <w:rsid w:val="004F1792"/>
    <w:rsid w:val="004F1D37"/>
    <w:rsid w:val="004F2364"/>
    <w:rsid w:val="004F2EBA"/>
    <w:rsid w:val="004F319C"/>
    <w:rsid w:val="004F361F"/>
    <w:rsid w:val="004F3F5C"/>
    <w:rsid w:val="004F4F7E"/>
    <w:rsid w:val="004F52B5"/>
    <w:rsid w:val="004F56A9"/>
    <w:rsid w:val="004F5FC6"/>
    <w:rsid w:val="004F6328"/>
    <w:rsid w:val="004F6975"/>
    <w:rsid w:val="004F73B8"/>
    <w:rsid w:val="004F7764"/>
    <w:rsid w:val="0050025E"/>
    <w:rsid w:val="005003E5"/>
    <w:rsid w:val="00500C70"/>
    <w:rsid w:val="0050117A"/>
    <w:rsid w:val="0050190B"/>
    <w:rsid w:val="005028E0"/>
    <w:rsid w:val="00502C1A"/>
    <w:rsid w:val="00502E4B"/>
    <w:rsid w:val="00503B48"/>
    <w:rsid w:val="00504722"/>
    <w:rsid w:val="005051D5"/>
    <w:rsid w:val="00506F2A"/>
    <w:rsid w:val="00507B11"/>
    <w:rsid w:val="00507D7F"/>
    <w:rsid w:val="00507F29"/>
    <w:rsid w:val="00510E9E"/>
    <w:rsid w:val="0051132C"/>
    <w:rsid w:val="00511E05"/>
    <w:rsid w:val="00512C09"/>
    <w:rsid w:val="00512FF1"/>
    <w:rsid w:val="005131E0"/>
    <w:rsid w:val="0051346B"/>
    <w:rsid w:val="0051377C"/>
    <w:rsid w:val="00513D06"/>
    <w:rsid w:val="00514535"/>
    <w:rsid w:val="0051495C"/>
    <w:rsid w:val="00514DD3"/>
    <w:rsid w:val="005161B8"/>
    <w:rsid w:val="005162F0"/>
    <w:rsid w:val="0051664E"/>
    <w:rsid w:val="00516CF0"/>
    <w:rsid w:val="005170E2"/>
    <w:rsid w:val="00517CC6"/>
    <w:rsid w:val="00517F12"/>
    <w:rsid w:val="00520660"/>
    <w:rsid w:val="00520EF3"/>
    <w:rsid w:val="00521752"/>
    <w:rsid w:val="0052192C"/>
    <w:rsid w:val="005225FE"/>
    <w:rsid w:val="0052271A"/>
    <w:rsid w:val="00523056"/>
    <w:rsid w:val="005234A4"/>
    <w:rsid w:val="00524316"/>
    <w:rsid w:val="00524399"/>
    <w:rsid w:val="00524730"/>
    <w:rsid w:val="00524BB1"/>
    <w:rsid w:val="00525C41"/>
    <w:rsid w:val="00526639"/>
    <w:rsid w:val="005275D4"/>
    <w:rsid w:val="00527CBA"/>
    <w:rsid w:val="00530A37"/>
    <w:rsid w:val="00530A9E"/>
    <w:rsid w:val="0053114A"/>
    <w:rsid w:val="00531A10"/>
    <w:rsid w:val="00531E8B"/>
    <w:rsid w:val="0053221D"/>
    <w:rsid w:val="00532C26"/>
    <w:rsid w:val="005330CF"/>
    <w:rsid w:val="00533312"/>
    <w:rsid w:val="00533F96"/>
    <w:rsid w:val="005362C3"/>
    <w:rsid w:val="005367B6"/>
    <w:rsid w:val="0054037C"/>
    <w:rsid w:val="00540545"/>
    <w:rsid w:val="00541342"/>
    <w:rsid w:val="00541F9F"/>
    <w:rsid w:val="0054276B"/>
    <w:rsid w:val="00543305"/>
    <w:rsid w:val="005439ED"/>
    <w:rsid w:val="00543B13"/>
    <w:rsid w:val="005441A1"/>
    <w:rsid w:val="005442B6"/>
    <w:rsid w:val="00544D5F"/>
    <w:rsid w:val="00545A5C"/>
    <w:rsid w:val="00545B5C"/>
    <w:rsid w:val="00545D97"/>
    <w:rsid w:val="005468AA"/>
    <w:rsid w:val="0054714D"/>
    <w:rsid w:val="0054721A"/>
    <w:rsid w:val="00547592"/>
    <w:rsid w:val="00551751"/>
    <w:rsid w:val="00551EA2"/>
    <w:rsid w:val="005521F2"/>
    <w:rsid w:val="00552C34"/>
    <w:rsid w:val="00553F31"/>
    <w:rsid w:val="00554594"/>
    <w:rsid w:val="00554D90"/>
    <w:rsid w:val="00554E17"/>
    <w:rsid w:val="005557DB"/>
    <w:rsid w:val="00555AD5"/>
    <w:rsid w:val="00555BCB"/>
    <w:rsid w:val="0055692F"/>
    <w:rsid w:val="00557188"/>
    <w:rsid w:val="00557C9E"/>
    <w:rsid w:val="00560280"/>
    <w:rsid w:val="0056031E"/>
    <w:rsid w:val="0056172D"/>
    <w:rsid w:val="00561779"/>
    <w:rsid w:val="00561DE1"/>
    <w:rsid w:val="005624BA"/>
    <w:rsid w:val="005625F2"/>
    <w:rsid w:val="00564131"/>
    <w:rsid w:val="00564AC0"/>
    <w:rsid w:val="00564BCC"/>
    <w:rsid w:val="00564C32"/>
    <w:rsid w:val="005653A9"/>
    <w:rsid w:val="0056580D"/>
    <w:rsid w:val="00565D30"/>
    <w:rsid w:val="00566579"/>
    <w:rsid w:val="00566762"/>
    <w:rsid w:val="00566A95"/>
    <w:rsid w:val="00566C5B"/>
    <w:rsid w:val="0056751D"/>
    <w:rsid w:val="005675D9"/>
    <w:rsid w:val="0056789F"/>
    <w:rsid w:val="005679C9"/>
    <w:rsid w:val="00567B80"/>
    <w:rsid w:val="00570ECD"/>
    <w:rsid w:val="00571813"/>
    <w:rsid w:val="00571BCA"/>
    <w:rsid w:val="00572C6F"/>
    <w:rsid w:val="005737B3"/>
    <w:rsid w:val="005738C0"/>
    <w:rsid w:val="00573EE3"/>
    <w:rsid w:val="00574821"/>
    <w:rsid w:val="00574872"/>
    <w:rsid w:val="00575623"/>
    <w:rsid w:val="00575B24"/>
    <w:rsid w:val="00576D5F"/>
    <w:rsid w:val="005773CE"/>
    <w:rsid w:val="005777D5"/>
    <w:rsid w:val="00577AAA"/>
    <w:rsid w:val="00577B2F"/>
    <w:rsid w:val="00577E51"/>
    <w:rsid w:val="0058097E"/>
    <w:rsid w:val="00580DB2"/>
    <w:rsid w:val="00581201"/>
    <w:rsid w:val="005818CC"/>
    <w:rsid w:val="00582169"/>
    <w:rsid w:val="0058287E"/>
    <w:rsid w:val="00582E19"/>
    <w:rsid w:val="00583034"/>
    <w:rsid w:val="00583211"/>
    <w:rsid w:val="00583240"/>
    <w:rsid w:val="005838EE"/>
    <w:rsid w:val="00583AF4"/>
    <w:rsid w:val="00583FE6"/>
    <w:rsid w:val="00584133"/>
    <w:rsid w:val="005846E8"/>
    <w:rsid w:val="00584BD6"/>
    <w:rsid w:val="00585E09"/>
    <w:rsid w:val="00587C3A"/>
    <w:rsid w:val="00587DAC"/>
    <w:rsid w:val="0059032B"/>
    <w:rsid w:val="00590B64"/>
    <w:rsid w:val="00590CFF"/>
    <w:rsid w:val="00590F18"/>
    <w:rsid w:val="00591087"/>
    <w:rsid w:val="00591451"/>
    <w:rsid w:val="0059147E"/>
    <w:rsid w:val="005920D6"/>
    <w:rsid w:val="005929D0"/>
    <w:rsid w:val="0059324A"/>
    <w:rsid w:val="00593C8D"/>
    <w:rsid w:val="00593FF2"/>
    <w:rsid w:val="00594583"/>
    <w:rsid w:val="005945B9"/>
    <w:rsid w:val="00595C6F"/>
    <w:rsid w:val="00596577"/>
    <w:rsid w:val="00596597"/>
    <w:rsid w:val="005971F4"/>
    <w:rsid w:val="00597916"/>
    <w:rsid w:val="00597A0A"/>
    <w:rsid w:val="005A051E"/>
    <w:rsid w:val="005A1206"/>
    <w:rsid w:val="005A13E1"/>
    <w:rsid w:val="005A1DC5"/>
    <w:rsid w:val="005A2E7C"/>
    <w:rsid w:val="005A2EE0"/>
    <w:rsid w:val="005A3991"/>
    <w:rsid w:val="005A3EC3"/>
    <w:rsid w:val="005A450A"/>
    <w:rsid w:val="005A4987"/>
    <w:rsid w:val="005A4F0A"/>
    <w:rsid w:val="005A6316"/>
    <w:rsid w:val="005A6616"/>
    <w:rsid w:val="005A6A46"/>
    <w:rsid w:val="005A7237"/>
    <w:rsid w:val="005B0091"/>
    <w:rsid w:val="005B044C"/>
    <w:rsid w:val="005B16E3"/>
    <w:rsid w:val="005B2420"/>
    <w:rsid w:val="005B26FF"/>
    <w:rsid w:val="005B2E09"/>
    <w:rsid w:val="005B2F4B"/>
    <w:rsid w:val="005B381A"/>
    <w:rsid w:val="005B3CA8"/>
    <w:rsid w:val="005B3E24"/>
    <w:rsid w:val="005B402B"/>
    <w:rsid w:val="005B457F"/>
    <w:rsid w:val="005B489E"/>
    <w:rsid w:val="005B73EC"/>
    <w:rsid w:val="005B7519"/>
    <w:rsid w:val="005B76FB"/>
    <w:rsid w:val="005C02CA"/>
    <w:rsid w:val="005C14FC"/>
    <w:rsid w:val="005C159E"/>
    <w:rsid w:val="005C1C24"/>
    <w:rsid w:val="005C2188"/>
    <w:rsid w:val="005C3992"/>
    <w:rsid w:val="005C3A18"/>
    <w:rsid w:val="005C3AEC"/>
    <w:rsid w:val="005C422D"/>
    <w:rsid w:val="005C433A"/>
    <w:rsid w:val="005C5318"/>
    <w:rsid w:val="005C6197"/>
    <w:rsid w:val="005C63F1"/>
    <w:rsid w:val="005C6884"/>
    <w:rsid w:val="005C71FA"/>
    <w:rsid w:val="005D18E6"/>
    <w:rsid w:val="005D1A01"/>
    <w:rsid w:val="005D2C64"/>
    <w:rsid w:val="005D3323"/>
    <w:rsid w:val="005D4A3A"/>
    <w:rsid w:val="005D4E46"/>
    <w:rsid w:val="005D62D1"/>
    <w:rsid w:val="005D65F9"/>
    <w:rsid w:val="005D68A0"/>
    <w:rsid w:val="005D6B13"/>
    <w:rsid w:val="005E0774"/>
    <w:rsid w:val="005E08F4"/>
    <w:rsid w:val="005E1ADC"/>
    <w:rsid w:val="005E1C62"/>
    <w:rsid w:val="005E2829"/>
    <w:rsid w:val="005E2917"/>
    <w:rsid w:val="005E2CB5"/>
    <w:rsid w:val="005E2E8D"/>
    <w:rsid w:val="005E3110"/>
    <w:rsid w:val="005E31E9"/>
    <w:rsid w:val="005E3902"/>
    <w:rsid w:val="005E3E84"/>
    <w:rsid w:val="005E41D5"/>
    <w:rsid w:val="005E4267"/>
    <w:rsid w:val="005E4A13"/>
    <w:rsid w:val="005E4E2F"/>
    <w:rsid w:val="005E50B6"/>
    <w:rsid w:val="005E5D6F"/>
    <w:rsid w:val="005E5E04"/>
    <w:rsid w:val="005E6635"/>
    <w:rsid w:val="005E6D16"/>
    <w:rsid w:val="005E6F8F"/>
    <w:rsid w:val="005E72B4"/>
    <w:rsid w:val="005E763F"/>
    <w:rsid w:val="005E7A81"/>
    <w:rsid w:val="005F0D62"/>
    <w:rsid w:val="005F16FA"/>
    <w:rsid w:val="005F1A27"/>
    <w:rsid w:val="005F1E3C"/>
    <w:rsid w:val="005F1E42"/>
    <w:rsid w:val="005F2575"/>
    <w:rsid w:val="005F266A"/>
    <w:rsid w:val="005F3BC5"/>
    <w:rsid w:val="005F401F"/>
    <w:rsid w:val="005F47A2"/>
    <w:rsid w:val="005F716A"/>
    <w:rsid w:val="005F75B7"/>
    <w:rsid w:val="006011F4"/>
    <w:rsid w:val="0060267D"/>
    <w:rsid w:val="00602A35"/>
    <w:rsid w:val="00602ECB"/>
    <w:rsid w:val="00603364"/>
    <w:rsid w:val="0060376C"/>
    <w:rsid w:val="0060412F"/>
    <w:rsid w:val="00604645"/>
    <w:rsid w:val="00604C30"/>
    <w:rsid w:val="00604F3B"/>
    <w:rsid w:val="00605B9A"/>
    <w:rsid w:val="00605E89"/>
    <w:rsid w:val="00606A21"/>
    <w:rsid w:val="006070B5"/>
    <w:rsid w:val="00607DD6"/>
    <w:rsid w:val="00607E50"/>
    <w:rsid w:val="006116F5"/>
    <w:rsid w:val="00611E1C"/>
    <w:rsid w:val="00612DAD"/>
    <w:rsid w:val="006133C7"/>
    <w:rsid w:val="00613850"/>
    <w:rsid w:val="00613935"/>
    <w:rsid w:val="00613EB6"/>
    <w:rsid w:val="00614010"/>
    <w:rsid w:val="00614592"/>
    <w:rsid w:val="006145CB"/>
    <w:rsid w:val="0061473D"/>
    <w:rsid w:val="00614F33"/>
    <w:rsid w:val="00615619"/>
    <w:rsid w:val="0061609C"/>
    <w:rsid w:val="00616412"/>
    <w:rsid w:val="006164F1"/>
    <w:rsid w:val="00617404"/>
    <w:rsid w:val="00617476"/>
    <w:rsid w:val="00617A19"/>
    <w:rsid w:val="00617F6D"/>
    <w:rsid w:val="006202C8"/>
    <w:rsid w:val="00621181"/>
    <w:rsid w:val="00621293"/>
    <w:rsid w:val="0062276C"/>
    <w:rsid w:val="0062276F"/>
    <w:rsid w:val="00622DCD"/>
    <w:rsid w:val="00623EAC"/>
    <w:rsid w:val="00624110"/>
    <w:rsid w:val="0062411C"/>
    <w:rsid w:val="0062489D"/>
    <w:rsid w:val="00624C86"/>
    <w:rsid w:val="00625F60"/>
    <w:rsid w:val="006260D9"/>
    <w:rsid w:val="00627079"/>
    <w:rsid w:val="00627939"/>
    <w:rsid w:val="00631A02"/>
    <w:rsid w:val="00631A93"/>
    <w:rsid w:val="006320AA"/>
    <w:rsid w:val="006333D3"/>
    <w:rsid w:val="00633AFC"/>
    <w:rsid w:val="00633FD6"/>
    <w:rsid w:val="006353B3"/>
    <w:rsid w:val="0063540B"/>
    <w:rsid w:val="0063550D"/>
    <w:rsid w:val="00635FC8"/>
    <w:rsid w:val="00636B5D"/>
    <w:rsid w:val="006378FE"/>
    <w:rsid w:val="00640790"/>
    <w:rsid w:val="00640B05"/>
    <w:rsid w:val="00641A3F"/>
    <w:rsid w:val="00641A88"/>
    <w:rsid w:val="00642F81"/>
    <w:rsid w:val="006431B6"/>
    <w:rsid w:val="006446FB"/>
    <w:rsid w:val="00645103"/>
    <w:rsid w:val="00645A43"/>
    <w:rsid w:val="00645A94"/>
    <w:rsid w:val="00646414"/>
    <w:rsid w:val="006464ED"/>
    <w:rsid w:val="00647D56"/>
    <w:rsid w:val="00650372"/>
    <w:rsid w:val="00650D95"/>
    <w:rsid w:val="00651EFF"/>
    <w:rsid w:val="0065296E"/>
    <w:rsid w:val="0065305C"/>
    <w:rsid w:val="0065334C"/>
    <w:rsid w:val="00653A1A"/>
    <w:rsid w:val="00654706"/>
    <w:rsid w:val="00654E70"/>
    <w:rsid w:val="00655343"/>
    <w:rsid w:val="0065569C"/>
    <w:rsid w:val="00655B3C"/>
    <w:rsid w:val="00655BBE"/>
    <w:rsid w:val="00655FB2"/>
    <w:rsid w:val="00656647"/>
    <w:rsid w:val="0065718E"/>
    <w:rsid w:val="00657905"/>
    <w:rsid w:val="00657991"/>
    <w:rsid w:val="00660649"/>
    <w:rsid w:val="00660BD3"/>
    <w:rsid w:val="006610EB"/>
    <w:rsid w:val="0066119E"/>
    <w:rsid w:val="0066182D"/>
    <w:rsid w:val="00661C12"/>
    <w:rsid w:val="006621A9"/>
    <w:rsid w:val="006621B4"/>
    <w:rsid w:val="00663493"/>
    <w:rsid w:val="00663826"/>
    <w:rsid w:val="00663BE0"/>
    <w:rsid w:val="00663E51"/>
    <w:rsid w:val="00663E98"/>
    <w:rsid w:val="00664525"/>
    <w:rsid w:val="00664599"/>
    <w:rsid w:val="00664AFF"/>
    <w:rsid w:val="00665EBF"/>
    <w:rsid w:val="006671AE"/>
    <w:rsid w:val="00667438"/>
    <w:rsid w:val="0067072C"/>
    <w:rsid w:val="00670B61"/>
    <w:rsid w:val="006718B8"/>
    <w:rsid w:val="00671AB0"/>
    <w:rsid w:val="00671EB7"/>
    <w:rsid w:val="006735F8"/>
    <w:rsid w:val="00673DAB"/>
    <w:rsid w:val="00674080"/>
    <w:rsid w:val="006764EE"/>
    <w:rsid w:val="00676DB8"/>
    <w:rsid w:val="00676EEF"/>
    <w:rsid w:val="0067790D"/>
    <w:rsid w:val="006806C4"/>
    <w:rsid w:val="006810FA"/>
    <w:rsid w:val="006818B7"/>
    <w:rsid w:val="0068278E"/>
    <w:rsid w:val="00682820"/>
    <w:rsid w:val="00683344"/>
    <w:rsid w:val="006834E3"/>
    <w:rsid w:val="00683C07"/>
    <w:rsid w:val="00684286"/>
    <w:rsid w:val="00684C2D"/>
    <w:rsid w:val="006855E4"/>
    <w:rsid w:val="00685871"/>
    <w:rsid w:val="00686643"/>
    <w:rsid w:val="00687A48"/>
    <w:rsid w:val="00687C10"/>
    <w:rsid w:val="0069158F"/>
    <w:rsid w:val="0069166A"/>
    <w:rsid w:val="00691C26"/>
    <w:rsid w:val="00691D3D"/>
    <w:rsid w:val="0069303E"/>
    <w:rsid w:val="00693596"/>
    <w:rsid w:val="00695997"/>
    <w:rsid w:val="00696125"/>
    <w:rsid w:val="00696247"/>
    <w:rsid w:val="00696725"/>
    <w:rsid w:val="006A04AC"/>
    <w:rsid w:val="006A068A"/>
    <w:rsid w:val="006A07A0"/>
    <w:rsid w:val="006A157D"/>
    <w:rsid w:val="006A287E"/>
    <w:rsid w:val="006A35B7"/>
    <w:rsid w:val="006A3B66"/>
    <w:rsid w:val="006A3D2F"/>
    <w:rsid w:val="006A3E3E"/>
    <w:rsid w:val="006A475E"/>
    <w:rsid w:val="006A48E4"/>
    <w:rsid w:val="006A4A4E"/>
    <w:rsid w:val="006A4BAA"/>
    <w:rsid w:val="006A58A1"/>
    <w:rsid w:val="006A613C"/>
    <w:rsid w:val="006B070A"/>
    <w:rsid w:val="006B0831"/>
    <w:rsid w:val="006B0A60"/>
    <w:rsid w:val="006B0A72"/>
    <w:rsid w:val="006B234F"/>
    <w:rsid w:val="006B2750"/>
    <w:rsid w:val="006B3081"/>
    <w:rsid w:val="006B33E1"/>
    <w:rsid w:val="006B48F0"/>
    <w:rsid w:val="006B5278"/>
    <w:rsid w:val="006B5E34"/>
    <w:rsid w:val="006B6587"/>
    <w:rsid w:val="006B65C9"/>
    <w:rsid w:val="006B700F"/>
    <w:rsid w:val="006B701D"/>
    <w:rsid w:val="006C06B5"/>
    <w:rsid w:val="006C075C"/>
    <w:rsid w:val="006C1B35"/>
    <w:rsid w:val="006C1B8D"/>
    <w:rsid w:val="006C1E0F"/>
    <w:rsid w:val="006C273E"/>
    <w:rsid w:val="006C38F0"/>
    <w:rsid w:val="006C39D0"/>
    <w:rsid w:val="006C3B91"/>
    <w:rsid w:val="006C3ECE"/>
    <w:rsid w:val="006C4355"/>
    <w:rsid w:val="006C4521"/>
    <w:rsid w:val="006C4D35"/>
    <w:rsid w:val="006C54C2"/>
    <w:rsid w:val="006C54D0"/>
    <w:rsid w:val="006C6ABE"/>
    <w:rsid w:val="006C7481"/>
    <w:rsid w:val="006C7DD5"/>
    <w:rsid w:val="006D07DD"/>
    <w:rsid w:val="006D1457"/>
    <w:rsid w:val="006D338F"/>
    <w:rsid w:val="006D33E8"/>
    <w:rsid w:val="006D4943"/>
    <w:rsid w:val="006D4D31"/>
    <w:rsid w:val="006D5534"/>
    <w:rsid w:val="006D5952"/>
    <w:rsid w:val="006D61B6"/>
    <w:rsid w:val="006D6321"/>
    <w:rsid w:val="006D6633"/>
    <w:rsid w:val="006D68CB"/>
    <w:rsid w:val="006D6A79"/>
    <w:rsid w:val="006D6CB5"/>
    <w:rsid w:val="006D6E48"/>
    <w:rsid w:val="006D70DA"/>
    <w:rsid w:val="006D7458"/>
    <w:rsid w:val="006D765B"/>
    <w:rsid w:val="006D7803"/>
    <w:rsid w:val="006E0232"/>
    <w:rsid w:val="006E0768"/>
    <w:rsid w:val="006E0DFE"/>
    <w:rsid w:val="006E1408"/>
    <w:rsid w:val="006E1F92"/>
    <w:rsid w:val="006E332C"/>
    <w:rsid w:val="006E3848"/>
    <w:rsid w:val="006E3A68"/>
    <w:rsid w:val="006E46E3"/>
    <w:rsid w:val="006E525F"/>
    <w:rsid w:val="006E555E"/>
    <w:rsid w:val="006E5CEC"/>
    <w:rsid w:val="006E69A5"/>
    <w:rsid w:val="006E6EC5"/>
    <w:rsid w:val="006E71A4"/>
    <w:rsid w:val="006E78BB"/>
    <w:rsid w:val="006E7EE7"/>
    <w:rsid w:val="006F03A0"/>
    <w:rsid w:val="006F03BD"/>
    <w:rsid w:val="006F0480"/>
    <w:rsid w:val="006F0B40"/>
    <w:rsid w:val="006F19A7"/>
    <w:rsid w:val="006F1C1A"/>
    <w:rsid w:val="006F2C59"/>
    <w:rsid w:val="006F316B"/>
    <w:rsid w:val="006F3727"/>
    <w:rsid w:val="006F3C0C"/>
    <w:rsid w:val="006F3F5D"/>
    <w:rsid w:val="006F551F"/>
    <w:rsid w:val="006F5965"/>
    <w:rsid w:val="006F6766"/>
    <w:rsid w:val="006F77F3"/>
    <w:rsid w:val="006F78AD"/>
    <w:rsid w:val="00700055"/>
    <w:rsid w:val="007000DC"/>
    <w:rsid w:val="00700C7C"/>
    <w:rsid w:val="0070148B"/>
    <w:rsid w:val="00701B22"/>
    <w:rsid w:val="007020BA"/>
    <w:rsid w:val="00703342"/>
    <w:rsid w:val="007033CE"/>
    <w:rsid w:val="007034E2"/>
    <w:rsid w:val="007038C2"/>
    <w:rsid w:val="0070463A"/>
    <w:rsid w:val="007047DB"/>
    <w:rsid w:val="00705031"/>
    <w:rsid w:val="00705768"/>
    <w:rsid w:val="00705F01"/>
    <w:rsid w:val="007061B8"/>
    <w:rsid w:val="00706433"/>
    <w:rsid w:val="007068E9"/>
    <w:rsid w:val="00706A1C"/>
    <w:rsid w:val="00706DBA"/>
    <w:rsid w:val="007071E2"/>
    <w:rsid w:val="007078E9"/>
    <w:rsid w:val="00707F91"/>
    <w:rsid w:val="007128B2"/>
    <w:rsid w:val="00713D27"/>
    <w:rsid w:val="007140E7"/>
    <w:rsid w:val="00714354"/>
    <w:rsid w:val="0071481C"/>
    <w:rsid w:val="00715156"/>
    <w:rsid w:val="00715C96"/>
    <w:rsid w:val="00715CBB"/>
    <w:rsid w:val="00716043"/>
    <w:rsid w:val="007160C2"/>
    <w:rsid w:val="00716504"/>
    <w:rsid w:val="00717543"/>
    <w:rsid w:val="007175F6"/>
    <w:rsid w:val="00717EBB"/>
    <w:rsid w:val="007201CA"/>
    <w:rsid w:val="0072036F"/>
    <w:rsid w:val="007206EB"/>
    <w:rsid w:val="00720991"/>
    <w:rsid w:val="00720BBE"/>
    <w:rsid w:val="00720F40"/>
    <w:rsid w:val="00721AE8"/>
    <w:rsid w:val="00721D60"/>
    <w:rsid w:val="00722078"/>
    <w:rsid w:val="00722729"/>
    <w:rsid w:val="00724036"/>
    <w:rsid w:val="00724757"/>
    <w:rsid w:val="00726D1E"/>
    <w:rsid w:val="00727972"/>
    <w:rsid w:val="00727A37"/>
    <w:rsid w:val="007301D8"/>
    <w:rsid w:val="00730349"/>
    <w:rsid w:val="00730557"/>
    <w:rsid w:val="00730FF4"/>
    <w:rsid w:val="00731249"/>
    <w:rsid w:val="00731321"/>
    <w:rsid w:val="0073136C"/>
    <w:rsid w:val="007316E7"/>
    <w:rsid w:val="00731A01"/>
    <w:rsid w:val="00732028"/>
    <w:rsid w:val="00732582"/>
    <w:rsid w:val="00732675"/>
    <w:rsid w:val="0073291F"/>
    <w:rsid w:val="00732DDA"/>
    <w:rsid w:val="007331C8"/>
    <w:rsid w:val="007334F4"/>
    <w:rsid w:val="00733A45"/>
    <w:rsid w:val="007361D0"/>
    <w:rsid w:val="00736786"/>
    <w:rsid w:val="00736FE9"/>
    <w:rsid w:val="0074013C"/>
    <w:rsid w:val="007401B1"/>
    <w:rsid w:val="00740449"/>
    <w:rsid w:val="00741897"/>
    <w:rsid w:val="00742BC7"/>
    <w:rsid w:val="007441F1"/>
    <w:rsid w:val="00746D62"/>
    <w:rsid w:val="007476F4"/>
    <w:rsid w:val="0075022F"/>
    <w:rsid w:val="00751950"/>
    <w:rsid w:val="00751DE8"/>
    <w:rsid w:val="00752113"/>
    <w:rsid w:val="00752E2D"/>
    <w:rsid w:val="00753665"/>
    <w:rsid w:val="00753A8D"/>
    <w:rsid w:val="00753E03"/>
    <w:rsid w:val="00754282"/>
    <w:rsid w:val="007549B4"/>
    <w:rsid w:val="00754BC6"/>
    <w:rsid w:val="00754DF6"/>
    <w:rsid w:val="007550B8"/>
    <w:rsid w:val="00756D1D"/>
    <w:rsid w:val="007574ED"/>
    <w:rsid w:val="00757CD2"/>
    <w:rsid w:val="007609B9"/>
    <w:rsid w:val="00761CA6"/>
    <w:rsid w:val="00762616"/>
    <w:rsid w:val="0076373C"/>
    <w:rsid w:val="00763D4B"/>
    <w:rsid w:val="00764629"/>
    <w:rsid w:val="007652AD"/>
    <w:rsid w:val="00765F06"/>
    <w:rsid w:val="00767A70"/>
    <w:rsid w:val="00767E38"/>
    <w:rsid w:val="0077082C"/>
    <w:rsid w:val="00770BCA"/>
    <w:rsid w:val="00770E21"/>
    <w:rsid w:val="007710EF"/>
    <w:rsid w:val="0077127D"/>
    <w:rsid w:val="007712D4"/>
    <w:rsid w:val="0077142F"/>
    <w:rsid w:val="00771552"/>
    <w:rsid w:val="00771D47"/>
    <w:rsid w:val="00771F67"/>
    <w:rsid w:val="00772551"/>
    <w:rsid w:val="00772814"/>
    <w:rsid w:val="007740F1"/>
    <w:rsid w:val="00777834"/>
    <w:rsid w:val="00780175"/>
    <w:rsid w:val="00780952"/>
    <w:rsid w:val="00780E1B"/>
    <w:rsid w:val="00782D8C"/>
    <w:rsid w:val="007830A3"/>
    <w:rsid w:val="007846D4"/>
    <w:rsid w:val="00784A76"/>
    <w:rsid w:val="00786420"/>
    <w:rsid w:val="00786AC8"/>
    <w:rsid w:val="00786E9D"/>
    <w:rsid w:val="00786EF1"/>
    <w:rsid w:val="00787142"/>
    <w:rsid w:val="007873D0"/>
    <w:rsid w:val="0078797D"/>
    <w:rsid w:val="00787C72"/>
    <w:rsid w:val="007906B6"/>
    <w:rsid w:val="00790BF7"/>
    <w:rsid w:val="00790E29"/>
    <w:rsid w:val="00790F19"/>
    <w:rsid w:val="00790F3F"/>
    <w:rsid w:val="00792CD2"/>
    <w:rsid w:val="007938E5"/>
    <w:rsid w:val="007956EA"/>
    <w:rsid w:val="00796043"/>
    <w:rsid w:val="00796AA1"/>
    <w:rsid w:val="00796B27"/>
    <w:rsid w:val="00796B83"/>
    <w:rsid w:val="00796F74"/>
    <w:rsid w:val="007974D7"/>
    <w:rsid w:val="00797BA5"/>
    <w:rsid w:val="00797C64"/>
    <w:rsid w:val="007A016F"/>
    <w:rsid w:val="007A0211"/>
    <w:rsid w:val="007A0B72"/>
    <w:rsid w:val="007A10CA"/>
    <w:rsid w:val="007A1124"/>
    <w:rsid w:val="007A1226"/>
    <w:rsid w:val="007A2BBC"/>
    <w:rsid w:val="007A3CBD"/>
    <w:rsid w:val="007A3DB4"/>
    <w:rsid w:val="007A3EFE"/>
    <w:rsid w:val="007A4809"/>
    <w:rsid w:val="007A49E4"/>
    <w:rsid w:val="007A5016"/>
    <w:rsid w:val="007A61FD"/>
    <w:rsid w:val="007A6255"/>
    <w:rsid w:val="007A66B8"/>
    <w:rsid w:val="007A677C"/>
    <w:rsid w:val="007A6838"/>
    <w:rsid w:val="007A7CF8"/>
    <w:rsid w:val="007B07A0"/>
    <w:rsid w:val="007B07DF"/>
    <w:rsid w:val="007B1AA2"/>
    <w:rsid w:val="007B1B08"/>
    <w:rsid w:val="007B1C6C"/>
    <w:rsid w:val="007B1FCB"/>
    <w:rsid w:val="007B39A6"/>
    <w:rsid w:val="007B44E3"/>
    <w:rsid w:val="007B457A"/>
    <w:rsid w:val="007B5085"/>
    <w:rsid w:val="007B561D"/>
    <w:rsid w:val="007B58ED"/>
    <w:rsid w:val="007B5A6A"/>
    <w:rsid w:val="007B5E0C"/>
    <w:rsid w:val="007B66FF"/>
    <w:rsid w:val="007B68A2"/>
    <w:rsid w:val="007B6C27"/>
    <w:rsid w:val="007B6ED5"/>
    <w:rsid w:val="007B7650"/>
    <w:rsid w:val="007C04CB"/>
    <w:rsid w:val="007C0955"/>
    <w:rsid w:val="007C1079"/>
    <w:rsid w:val="007C16C2"/>
    <w:rsid w:val="007C187D"/>
    <w:rsid w:val="007C33F3"/>
    <w:rsid w:val="007C3C11"/>
    <w:rsid w:val="007C49A4"/>
    <w:rsid w:val="007C58B8"/>
    <w:rsid w:val="007C5E15"/>
    <w:rsid w:val="007C5EB8"/>
    <w:rsid w:val="007C6450"/>
    <w:rsid w:val="007C72A1"/>
    <w:rsid w:val="007C7936"/>
    <w:rsid w:val="007C7F71"/>
    <w:rsid w:val="007D04E4"/>
    <w:rsid w:val="007D16EE"/>
    <w:rsid w:val="007D18BE"/>
    <w:rsid w:val="007D23D2"/>
    <w:rsid w:val="007D3664"/>
    <w:rsid w:val="007D58DE"/>
    <w:rsid w:val="007D60BA"/>
    <w:rsid w:val="007D6152"/>
    <w:rsid w:val="007D694A"/>
    <w:rsid w:val="007D6F31"/>
    <w:rsid w:val="007D7007"/>
    <w:rsid w:val="007D7406"/>
    <w:rsid w:val="007D75DF"/>
    <w:rsid w:val="007E062C"/>
    <w:rsid w:val="007E0E6A"/>
    <w:rsid w:val="007E0EF2"/>
    <w:rsid w:val="007E1596"/>
    <w:rsid w:val="007E1CDF"/>
    <w:rsid w:val="007E1D7B"/>
    <w:rsid w:val="007E1F4F"/>
    <w:rsid w:val="007E2031"/>
    <w:rsid w:val="007E2331"/>
    <w:rsid w:val="007E2961"/>
    <w:rsid w:val="007E2FCC"/>
    <w:rsid w:val="007E3A2F"/>
    <w:rsid w:val="007E3E74"/>
    <w:rsid w:val="007E4C7B"/>
    <w:rsid w:val="007E4CAF"/>
    <w:rsid w:val="007E5206"/>
    <w:rsid w:val="007E5450"/>
    <w:rsid w:val="007E59FF"/>
    <w:rsid w:val="007E6026"/>
    <w:rsid w:val="007E62B4"/>
    <w:rsid w:val="007E7BA5"/>
    <w:rsid w:val="007E7E57"/>
    <w:rsid w:val="007F013B"/>
    <w:rsid w:val="007F1558"/>
    <w:rsid w:val="007F15F3"/>
    <w:rsid w:val="007F166D"/>
    <w:rsid w:val="007F18B7"/>
    <w:rsid w:val="007F1A02"/>
    <w:rsid w:val="007F1C17"/>
    <w:rsid w:val="007F1CE2"/>
    <w:rsid w:val="007F1EB5"/>
    <w:rsid w:val="007F1FBB"/>
    <w:rsid w:val="007F26B2"/>
    <w:rsid w:val="007F3A94"/>
    <w:rsid w:val="007F3BC4"/>
    <w:rsid w:val="007F422C"/>
    <w:rsid w:val="007F6618"/>
    <w:rsid w:val="007F75A6"/>
    <w:rsid w:val="00800295"/>
    <w:rsid w:val="0080091A"/>
    <w:rsid w:val="00802841"/>
    <w:rsid w:val="00803140"/>
    <w:rsid w:val="00804387"/>
    <w:rsid w:val="008044AB"/>
    <w:rsid w:val="00805854"/>
    <w:rsid w:val="00805D55"/>
    <w:rsid w:val="00806426"/>
    <w:rsid w:val="00806774"/>
    <w:rsid w:val="00806A8C"/>
    <w:rsid w:val="00807969"/>
    <w:rsid w:val="00807F22"/>
    <w:rsid w:val="00810142"/>
    <w:rsid w:val="0081058A"/>
    <w:rsid w:val="00811317"/>
    <w:rsid w:val="0081244F"/>
    <w:rsid w:val="00812B17"/>
    <w:rsid w:val="008137DB"/>
    <w:rsid w:val="00813B1A"/>
    <w:rsid w:val="00814179"/>
    <w:rsid w:val="008141B3"/>
    <w:rsid w:val="00816A1D"/>
    <w:rsid w:val="00817070"/>
    <w:rsid w:val="008202D1"/>
    <w:rsid w:val="008214B0"/>
    <w:rsid w:val="00821F89"/>
    <w:rsid w:val="0082243A"/>
    <w:rsid w:val="008224BC"/>
    <w:rsid w:val="008229F5"/>
    <w:rsid w:val="0082322F"/>
    <w:rsid w:val="008233F6"/>
    <w:rsid w:val="00823812"/>
    <w:rsid w:val="00823B5D"/>
    <w:rsid w:val="00823EC6"/>
    <w:rsid w:val="00824330"/>
    <w:rsid w:val="00824E70"/>
    <w:rsid w:val="00825FF4"/>
    <w:rsid w:val="00825FFD"/>
    <w:rsid w:val="00826AD5"/>
    <w:rsid w:val="00827140"/>
    <w:rsid w:val="00827452"/>
    <w:rsid w:val="008279BA"/>
    <w:rsid w:val="00827C45"/>
    <w:rsid w:val="00827CE3"/>
    <w:rsid w:val="0083076C"/>
    <w:rsid w:val="00830F55"/>
    <w:rsid w:val="008320D2"/>
    <w:rsid w:val="00832659"/>
    <w:rsid w:val="008330CB"/>
    <w:rsid w:val="00833D19"/>
    <w:rsid w:val="00833E35"/>
    <w:rsid w:val="008345AF"/>
    <w:rsid w:val="00834BB9"/>
    <w:rsid w:val="0083533E"/>
    <w:rsid w:val="0083611C"/>
    <w:rsid w:val="0083641A"/>
    <w:rsid w:val="00836567"/>
    <w:rsid w:val="00837017"/>
    <w:rsid w:val="00837B1A"/>
    <w:rsid w:val="00837EC2"/>
    <w:rsid w:val="00840479"/>
    <w:rsid w:val="00840DF4"/>
    <w:rsid w:val="00840F56"/>
    <w:rsid w:val="00841A8C"/>
    <w:rsid w:val="00841E51"/>
    <w:rsid w:val="00842248"/>
    <w:rsid w:val="00842A39"/>
    <w:rsid w:val="008441D5"/>
    <w:rsid w:val="008441EE"/>
    <w:rsid w:val="00844311"/>
    <w:rsid w:val="008461A4"/>
    <w:rsid w:val="008463A2"/>
    <w:rsid w:val="00847246"/>
    <w:rsid w:val="008478C5"/>
    <w:rsid w:val="00847DBC"/>
    <w:rsid w:val="00850840"/>
    <w:rsid w:val="00851C72"/>
    <w:rsid w:val="00851DDA"/>
    <w:rsid w:val="00852771"/>
    <w:rsid w:val="0085292D"/>
    <w:rsid w:val="00852F53"/>
    <w:rsid w:val="00853C2E"/>
    <w:rsid w:val="0085401D"/>
    <w:rsid w:val="0085411A"/>
    <w:rsid w:val="00854C92"/>
    <w:rsid w:val="00855624"/>
    <w:rsid w:val="00855B31"/>
    <w:rsid w:val="008573A6"/>
    <w:rsid w:val="00857F3A"/>
    <w:rsid w:val="0086012D"/>
    <w:rsid w:val="008620C3"/>
    <w:rsid w:val="00862289"/>
    <w:rsid w:val="00862478"/>
    <w:rsid w:val="00863A77"/>
    <w:rsid w:val="00863B28"/>
    <w:rsid w:val="008646F5"/>
    <w:rsid w:val="00866066"/>
    <w:rsid w:val="00866875"/>
    <w:rsid w:val="00866926"/>
    <w:rsid w:val="00866AF5"/>
    <w:rsid w:val="00867880"/>
    <w:rsid w:val="0087079B"/>
    <w:rsid w:val="00870E20"/>
    <w:rsid w:val="00870FA3"/>
    <w:rsid w:val="008712B7"/>
    <w:rsid w:val="00871416"/>
    <w:rsid w:val="00871EE5"/>
    <w:rsid w:val="008720DB"/>
    <w:rsid w:val="008738F3"/>
    <w:rsid w:val="00874A52"/>
    <w:rsid w:val="00875740"/>
    <w:rsid w:val="00875C73"/>
    <w:rsid w:val="008766D8"/>
    <w:rsid w:val="00876A4B"/>
    <w:rsid w:val="00876C6C"/>
    <w:rsid w:val="00876CAC"/>
    <w:rsid w:val="0087782D"/>
    <w:rsid w:val="008778E6"/>
    <w:rsid w:val="00880180"/>
    <w:rsid w:val="008814F1"/>
    <w:rsid w:val="008822E8"/>
    <w:rsid w:val="0088311E"/>
    <w:rsid w:val="00884811"/>
    <w:rsid w:val="0088490A"/>
    <w:rsid w:val="0088563F"/>
    <w:rsid w:val="00885AAB"/>
    <w:rsid w:val="00885E3E"/>
    <w:rsid w:val="0088647F"/>
    <w:rsid w:val="00887BB3"/>
    <w:rsid w:val="008906B1"/>
    <w:rsid w:val="008915BA"/>
    <w:rsid w:val="008915F1"/>
    <w:rsid w:val="00892061"/>
    <w:rsid w:val="008921B4"/>
    <w:rsid w:val="00892442"/>
    <w:rsid w:val="00892668"/>
    <w:rsid w:val="0089338E"/>
    <w:rsid w:val="00893C2A"/>
    <w:rsid w:val="00894CE2"/>
    <w:rsid w:val="0089526B"/>
    <w:rsid w:val="00895705"/>
    <w:rsid w:val="00895A15"/>
    <w:rsid w:val="00895FC3"/>
    <w:rsid w:val="008960D1"/>
    <w:rsid w:val="00896321"/>
    <w:rsid w:val="00896B3F"/>
    <w:rsid w:val="008970A4"/>
    <w:rsid w:val="008970C8"/>
    <w:rsid w:val="00897776"/>
    <w:rsid w:val="00897D9A"/>
    <w:rsid w:val="008A02A8"/>
    <w:rsid w:val="008A04BE"/>
    <w:rsid w:val="008A1330"/>
    <w:rsid w:val="008A14EA"/>
    <w:rsid w:val="008A15D5"/>
    <w:rsid w:val="008A1A01"/>
    <w:rsid w:val="008A1F8A"/>
    <w:rsid w:val="008A2044"/>
    <w:rsid w:val="008A20A8"/>
    <w:rsid w:val="008A3A6A"/>
    <w:rsid w:val="008A418A"/>
    <w:rsid w:val="008A49C0"/>
    <w:rsid w:val="008A5EC0"/>
    <w:rsid w:val="008A6F48"/>
    <w:rsid w:val="008B0D75"/>
    <w:rsid w:val="008B1433"/>
    <w:rsid w:val="008B2BE4"/>
    <w:rsid w:val="008B336D"/>
    <w:rsid w:val="008B5B34"/>
    <w:rsid w:val="008B613B"/>
    <w:rsid w:val="008B65CE"/>
    <w:rsid w:val="008B6654"/>
    <w:rsid w:val="008B6EFD"/>
    <w:rsid w:val="008B7104"/>
    <w:rsid w:val="008B7E61"/>
    <w:rsid w:val="008C0D00"/>
    <w:rsid w:val="008C0FE1"/>
    <w:rsid w:val="008C183A"/>
    <w:rsid w:val="008C2A79"/>
    <w:rsid w:val="008C308C"/>
    <w:rsid w:val="008C4948"/>
    <w:rsid w:val="008C4D39"/>
    <w:rsid w:val="008C556A"/>
    <w:rsid w:val="008C5D0D"/>
    <w:rsid w:val="008C6966"/>
    <w:rsid w:val="008C7423"/>
    <w:rsid w:val="008D03DD"/>
    <w:rsid w:val="008D0FE8"/>
    <w:rsid w:val="008D1B5E"/>
    <w:rsid w:val="008D3AC0"/>
    <w:rsid w:val="008D3AC9"/>
    <w:rsid w:val="008D4EAA"/>
    <w:rsid w:val="008D4F80"/>
    <w:rsid w:val="008D549D"/>
    <w:rsid w:val="008D6AE6"/>
    <w:rsid w:val="008D71AA"/>
    <w:rsid w:val="008E029E"/>
    <w:rsid w:val="008E0C00"/>
    <w:rsid w:val="008E1434"/>
    <w:rsid w:val="008E1554"/>
    <w:rsid w:val="008E1921"/>
    <w:rsid w:val="008E20A3"/>
    <w:rsid w:val="008E20CB"/>
    <w:rsid w:val="008E2594"/>
    <w:rsid w:val="008E2C1E"/>
    <w:rsid w:val="008E32E1"/>
    <w:rsid w:val="008E3B7E"/>
    <w:rsid w:val="008E3F45"/>
    <w:rsid w:val="008E459E"/>
    <w:rsid w:val="008E50B3"/>
    <w:rsid w:val="008E58EA"/>
    <w:rsid w:val="008E5D7C"/>
    <w:rsid w:val="008E5DBD"/>
    <w:rsid w:val="008E70E1"/>
    <w:rsid w:val="008F0E8F"/>
    <w:rsid w:val="008F119F"/>
    <w:rsid w:val="008F1222"/>
    <w:rsid w:val="008F1660"/>
    <w:rsid w:val="008F1D3E"/>
    <w:rsid w:val="008F29D9"/>
    <w:rsid w:val="008F38F7"/>
    <w:rsid w:val="008F4585"/>
    <w:rsid w:val="008F4753"/>
    <w:rsid w:val="008F6D82"/>
    <w:rsid w:val="008F6FE6"/>
    <w:rsid w:val="008F7D4F"/>
    <w:rsid w:val="00900503"/>
    <w:rsid w:val="00900A36"/>
    <w:rsid w:val="00900C58"/>
    <w:rsid w:val="00900CE6"/>
    <w:rsid w:val="00901C4F"/>
    <w:rsid w:val="00902417"/>
    <w:rsid w:val="00902462"/>
    <w:rsid w:val="00902510"/>
    <w:rsid w:val="00902B6D"/>
    <w:rsid w:val="00902BA6"/>
    <w:rsid w:val="0090300C"/>
    <w:rsid w:val="00904A11"/>
    <w:rsid w:val="00904DF6"/>
    <w:rsid w:val="009054CD"/>
    <w:rsid w:val="00905589"/>
    <w:rsid w:val="00907484"/>
    <w:rsid w:val="00907BCA"/>
    <w:rsid w:val="00910A86"/>
    <w:rsid w:val="00910B48"/>
    <w:rsid w:val="00911572"/>
    <w:rsid w:val="00911643"/>
    <w:rsid w:val="00911CBC"/>
    <w:rsid w:val="00912494"/>
    <w:rsid w:val="0091289E"/>
    <w:rsid w:val="009133AB"/>
    <w:rsid w:val="00913511"/>
    <w:rsid w:val="009135FC"/>
    <w:rsid w:val="009154B7"/>
    <w:rsid w:val="00915931"/>
    <w:rsid w:val="009162AD"/>
    <w:rsid w:val="009163A0"/>
    <w:rsid w:val="00916BDF"/>
    <w:rsid w:val="00916D30"/>
    <w:rsid w:val="00916E6A"/>
    <w:rsid w:val="00917B94"/>
    <w:rsid w:val="0092008A"/>
    <w:rsid w:val="009219ED"/>
    <w:rsid w:val="0092209C"/>
    <w:rsid w:val="009222E3"/>
    <w:rsid w:val="009224ED"/>
    <w:rsid w:val="00922783"/>
    <w:rsid w:val="00923214"/>
    <w:rsid w:val="009233B2"/>
    <w:rsid w:val="00923417"/>
    <w:rsid w:val="009257C8"/>
    <w:rsid w:val="00926034"/>
    <w:rsid w:val="00930751"/>
    <w:rsid w:val="00930E84"/>
    <w:rsid w:val="00930F93"/>
    <w:rsid w:val="0093136C"/>
    <w:rsid w:val="009318A6"/>
    <w:rsid w:val="00931A02"/>
    <w:rsid w:val="0093219A"/>
    <w:rsid w:val="00932DDB"/>
    <w:rsid w:val="00932F08"/>
    <w:rsid w:val="00932F67"/>
    <w:rsid w:val="00933662"/>
    <w:rsid w:val="00933C46"/>
    <w:rsid w:val="00933C8D"/>
    <w:rsid w:val="009341C3"/>
    <w:rsid w:val="00934D29"/>
    <w:rsid w:val="00935280"/>
    <w:rsid w:val="00936F8F"/>
    <w:rsid w:val="00937758"/>
    <w:rsid w:val="00937EB4"/>
    <w:rsid w:val="00940CB4"/>
    <w:rsid w:val="00941A69"/>
    <w:rsid w:val="00941C39"/>
    <w:rsid w:val="0094305D"/>
    <w:rsid w:val="009433B4"/>
    <w:rsid w:val="00943CB9"/>
    <w:rsid w:val="00943F40"/>
    <w:rsid w:val="009441FA"/>
    <w:rsid w:val="009446CB"/>
    <w:rsid w:val="00944E95"/>
    <w:rsid w:val="009455C1"/>
    <w:rsid w:val="009455D0"/>
    <w:rsid w:val="00946226"/>
    <w:rsid w:val="00946C81"/>
    <w:rsid w:val="009478BE"/>
    <w:rsid w:val="00947E19"/>
    <w:rsid w:val="00947FFA"/>
    <w:rsid w:val="00950255"/>
    <w:rsid w:val="0095038A"/>
    <w:rsid w:val="00950652"/>
    <w:rsid w:val="00950710"/>
    <w:rsid w:val="0095090F"/>
    <w:rsid w:val="00950CB3"/>
    <w:rsid w:val="00950FC1"/>
    <w:rsid w:val="00951D5C"/>
    <w:rsid w:val="00951EA6"/>
    <w:rsid w:val="00951F6D"/>
    <w:rsid w:val="009537EA"/>
    <w:rsid w:val="009542B3"/>
    <w:rsid w:val="009562DA"/>
    <w:rsid w:val="00957810"/>
    <w:rsid w:val="0096013A"/>
    <w:rsid w:val="0096097A"/>
    <w:rsid w:val="00960D48"/>
    <w:rsid w:val="00961AA6"/>
    <w:rsid w:val="00962642"/>
    <w:rsid w:val="009630B9"/>
    <w:rsid w:val="00963F57"/>
    <w:rsid w:val="009657C8"/>
    <w:rsid w:val="009658F1"/>
    <w:rsid w:val="00965971"/>
    <w:rsid w:val="00965BF1"/>
    <w:rsid w:val="0096728E"/>
    <w:rsid w:val="00967FD0"/>
    <w:rsid w:val="00970932"/>
    <w:rsid w:val="009710E4"/>
    <w:rsid w:val="00971104"/>
    <w:rsid w:val="009711E0"/>
    <w:rsid w:val="00971380"/>
    <w:rsid w:val="009717F4"/>
    <w:rsid w:val="00971D10"/>
    <w:rsid w:val="0097210C"/>
    <w:rsid w:val="00973395"/>
    <w:rsid w:val="009734A1"/>
    <w:rsid w:val="009735B8"/>
    <w:rsid w:val="009741DB"/>
    <w:rsid w:val="00975183"/>
    <w:rsid w:val="00975B3E"/>
    <w:rsid w:val="00975C39"/>
    <w:rsid w:val="009761AB"/>
    <w:rsid w:val="00976EA2"/>
    <w:rsid w:val="009771BF"/>
    <w:rsid w:val="00977EA3"/>
    <w:rsid w:val="0098017C"/>
    <w:rsid w:val="0098024E"/>
    <w:rsid w:val="00981525"/>
    <w:rsid w:val="009819C2"/>
    <w:rsid w:val="00982EB9"/>
    <w:rsid w:val="00983ACD"/>
    <w:rsid w:val="009840C7"/>
    <w:rsid w:val="009840D2"/>
    <w:rsid w:val="009854ED"/>
    <w:rsid w:val="0098575B"/>
    <w:rsid w:val="009869B3"/>
    <w:rsid w:val="0098792F"/>
    <w:rsid w:val="009902BE"/>
    <w:rsid w:val="00990323"/>
    <w:rsid w:val="00990AF5"/>
    <w:rsid w:val="00990BA2"/>
    <w:rsid w:val="00991163"/>
    <w:rsid w:val="00991EA9"/>
    <w:rsid w:val="00991FCC"/>
    <w:rsid w:val="00992E2B"/>
    <w:rsid w:val="0099322D"/>
    <w:rsid w:val="009936CD"/>
    <w:rsid w:val="00993984"/>
    <w:rsid w:val="0099430A"/>
    <w:rsid w:val="009944FA"/>
    <w:rsid w:val="00994C74"/>
    <w:rsid w:val="00994ED6"/>
    <w:rsid w:val="009963CD"/>
    <w:rsid w:val="00996C65"/>
    <w:rsid w:val="0099746E"/>
    <w:rsid w:val="00997DE4"/>
    <w:rsid w:val="009A008F"/>
    <w:rsid w:val="009A106F"/>
    <w:rsid w:val="009A1200"/>
    <w:rsid w:val="009A1210"/>
    <w:rsid w:val="009A25B2"/>
    <w:rsid w:val="009A274F"/>
    <w:rsid w:val="009A2E19"/>
    <w:rsid w:val="009A3138"/>
    <w:rsid w:val="009A3749"/>
    <w:rsid w:val="009A3C94"/>
    <w:rsid w:val="009A4201"/>
    <w:rsid w:val="009A43FA"/>
    <w:rsid w:val="009A4613"/>
    <w:rsid w:val="009A49E4"/>
    <w:rsid w:val="009A4BEB"/>
    <w:rsid w:val="009A547C"/>
    <w:rsid w:val="009A598B"/>
    <w:rsid w:val="009A702D"/>
    <w:rsid w:val="009A7ADE"/>
    <w:rsid w:val="009B0525"/>
    <w:rsid w:val="009B17DA"/>
    <w:rsid w:val="009B3983"/>
    <w:rsid w:val="009B48DD"/>
    <w:rsid w:val="009B513F"/>
    <w:rsid w:val="009B5283"/>
    <w:rsid w:val="009B6DF8"/>
    <w:rsid w:val="009B7268"/>
    <w:rsid w:val="009B7CCF"/>
    <w:rsid w:val="009C042A"/>
    <w:rsid w:val="009C0782"/>
    <w:rsid w:val="009C0918"/>
    <w:rsid w:val="009C0B56"/>
    <w:rsid w:val="009C3F42"/>
    <w:rsid w:val="009C42DF"/>
    <w:rsid w:val="009C44EC"/>
    <w:rsid w:val="009C5293"/>
    <w:rsid w:val="009C55E6"/>
    <w:rsid w:val="009C619A"/>
    <w:rsid w:val="009C65CE"/>
    <w:rsid w:val="009C6787"/>
    <w:rsid w:val="009C6D64"/>
    <w:rsid w:val="009C6DB0"/>
    <w:rsid w:val="009C7725"/>
    <w:rsid w:val="009D0138"/>
    <w:rsid w:val="009D0542"/>
    <w:rsid w:val="009D0DF9"/>
    <w:rsid w:val="009D1DF0"/>
    <w:rsid w:val="009D1F39"/>
    <w:rsid w:val="009D22B9"/>
    <w:rsid w:val="009D2EB5"/>
    <w:rsid w:val="009D42C9"/>
    <w:rsid w:val="009D4689"/>
    <w:rsid w:val="009D5489"/>
    <w:rsid w:val="009D7381"/>
    <w:rsid w:val="009D7F9B"/>
    <w:rsid w:val="009E02CA"/>
    <w:rsid w:val="009E081B"/>
    <w:rsid w:val="009E2576"/>
    <w:rsid w:val="009E3D01"/>
    <w:rsid w:val="009E4027"/>
    <w:rsid w:val="009E486C"/>
    <w:rsid w:val="009E498D"/>
    <w:rsid w:val="009E4BCA"/>
    <w:rsid w:val="009E50CA"/>
    <w:rsid w:val="009E5858"/>
    <w:rsid w:val="009E6329"/>
    <w:rsid w:val="009E6B82"/>
    <w:rsid w:val="009E6FC8"/>
    <w:rsid w:val="009E75DD"/>
    <w:rsid w:val="009F24FA"/>
    <w:rsid w:val="009F2CBC"/>
    <w:rsid w:val="009F2E08"/>
    <w:rsid w:val="009F367B"/>
    <w:rsid w:val="009F4001"/>
    <w:rsid w:val="009F418C"/>
    <w:rsid w:val="009F615C"/>
    <w:rsid w:val="009F6B95"/>
    <w:rsid w:val="009F7A15"/>
    <w:rsid w:val="00A00646"/>
    <w:rsid w:val="00A01022"/>
    <w:rsid w:val="00A01749"/>
    <w:rsid w:val="00A02008"/>
    <w:rsid w:val="00A02B2C"/>
    <w:rsid w:val="00A02FD9"/>
    <w:rsid w:val="00A042DC"/>
    <w:rsid w:val="00A0464B"/>
    <w:rsid w:val="00A04B43"/>
    <w:rsid w:val="00A057D3"/>
    <w:rsid w:val="00A058AA"/>
    <w:rsid w:val="00A06D50"/>
    <w:rsid w:val="00A06F63"/>
    <w:rsid w:val="00A07144"/>
    <w:rsid w:val="00A07926"/>
    <w:rsid w:val="00A07E0B"/>
    <w:rsid w:val="00A10DB8"/>
    <w:rsid w:val="00A11D2D"/>
    <w:rsid w:val="00A12025"/>
    <w:rsid w:val="00A121EB"/>
    <w:rsid w:val="00A130C8"/>
    <w:rsid w:val="00A13B80"/>
    <w:rsid w:val="00A13FF2"/>
    <w:rsid w:val="00A14249"/>
    <w:rsid w:val="00A14BE5"/>
    <w:rsid w:val="00A14EC6"/>
    <w:rsid w:val="00A15EC9"/>
    <w:rsid w:val="00A16146"/>
    <w:rsid w:val="00A1779D"/>
    <w:rsid w:val="00A21029"/>
    <w:rsid w:val="00A21B63"/>
    <w:rsid w:val="00A225D2"/>
    <w:rsid w:val="00A2296D"/>
    <w:rsid w:val="00A23746"/>
    <w:rsid w:val="00A244C1"/>
    <w:rsid w:val="00A25CC5"/>
    <w:rsid w:val="00A25E8B"/>
    <w:rsid w:val="00A2636A"/>
    <w:rsid w:val="00A27279"/>
    <w:rsid w:val="00A2767E"/>
    <w:rsid w:val="00A27CE0"/>
    <w:rsid w:val="00A27D0F"/>
    <w:rsid w:val="00A30B36"/>
    <w:rsid w:val="00A30FCB"/>
    <w:rsid w:val="00A33053"/>
    <w:rsid w:val="00A3455E"/>
    <w:rsid w:val="00A3468D"/>
    <w:rsid w:val="00A34690"/>
    <w:rsid w:val="00A34862"/>
    <w:rsid w:val="00A35284"/>
    <w:rsid w:val="00A357C2"/>
    <w:rsid w:val="00A36576"/>
    <w:rsid w:val="00A36962"/>
    <w:rsid w:val="00A36D7B"/>
    <w:rsid w:val="00A37EB5"/>
    <w:rsid w:val="00A40FCE"/>
    <w:rsid w:val="00A41227"/>
    <w:rsid w:val="00A41814"/>
    <w:rsid w:val="00A41F8B"/>
    <w:rsid w:val="00A43D10"/>
    <w:rsid w:val="00A447D2"/>
    <w:rsid w:val="00A451FA"/>
    <w:rsid w:val="00A45B11"/>
    <w:rsid w:val="00A46CD0"/>
    <w:rsid w:val="00A470C9"/>
    <w:rsid w:val="00A50119"/>
    <w:rsid w:val="00A504BE"/>
    <w:rsid w:val="00A5156A"/>
    <w:rsid w:val="00A51B48"/>
    <w:rsid w:val="00A51E96"/>
    <w:rsid w:val="00A526FD"/>
    <w:rsid w:val="00A53A1F"/>
    <w:rsid w:val="00A542AF"/>
    <w:rsid w:val="00A548F3"/>
    <w:rsid w:val="00A569B8"/>
    <w:rsid w:val="00A56AD3"/>
    <w:rsid w:val="00A56D2A"/>
    <w:rsid w:val="00A56E94"/>
    <w:rsid w:val="00A57F17"/>
    <w:rsid w:val="00A61646"/>
    <w:rsid w:val="00A618CB"/>
    <w:rsid w:val="00A61C87"/>
    <w:rsid w:val="00A61FD6"/>
    <w:rsid w:val="00A6231A"/>
    <w:rsid w:val="00A6354E"/>
    <w:rsid w:val="00A643A0"/>
    <w:rsid w:val="00A650A0"/>
    <w:rsid w:val="00A65F80"/>
    <w:rsid w:val="00A65FA1"/>
    <w:rsid w:val="00A66018"/>
    <w:rsid w:val="00A66DB1"/>
    <w:rsid w:val="00A706CD"/>
    <w:rsid w:val="00A70B46"/>
    <w:rsid w:val="00A71679"/>
    <w:rsid w:val="00A71728"/>
    <w:rsid w:val="00A718BE"/>
    <w:rsid w:val="00A71D0E"/>
    <w:rsid w:val="00A72838"/>
    <w:rsid w:val="00A72DE4"/>
    <w:rsid w:val="00A734DF"/>
    <w:rsid w:val="00A73868"/>
    <w:rsid w:val="00A73B7F"/>
    <w:rsid w:val="00A73D39"/>
    <w:rsid w:val="00A7441A"/>
    <w:rsid w:val="00A74D6D"/>
    <w:rsid w:val="00A75A88"/>
    <w:rsid w:val="00A76AB5"/>
    <w:rsid w:val="00A77C45"/>
    <w:rsid w:val="00A800B2"/>
    <w:rsid w:val="00A80B06"/>
    <w:rsid w:val="00A817FD"/>
    <w:rsid w:val="00A81883"/>
    <w:rsid w:val="00A81E2C"/>
    <w:rsid w:val="00A8304D"/>
    <w:rsid w:val="00A83718"/>
    <w:rsid w:val="00A83844"/>
    <w:rsid w:val="00A841EA"/>
    <w:rsid w:val="00A846D9"/>
    <w:rsid w:val="00A85392"/>
    <w:rsid w:val="00A85D8B"/>
    <w:rsid w:val="00A86550"/>
    <w:rsid w:val="00A86730"/>
    <w:rsid w:val="00A86E52"/>
    <w:rsid w:val="00A86FC0"/>
    <w:rsid w:val="00A8703C"/>
    <w:rsid w:val="00A87064"/>
    <w:rsid w:val="00A87406"/>
    <w:rsid w:val="00A875EA"/>
    <w:rsid w:val="00A87968"/>
    <w:rsid w:val="00A900AD"/>
    <w:rsid w:val="00A90E17"/>
    <w:rsid w:val="00A92A92"/>
    <w:rsid w:val="00A92CE1"/>
    <w:rsid w:val="00A935E2"/>
    <w:rsid w:val="00A938FE"/>
    <w:rsid w:val="00A94AFB"/>
    <w:rsid w:val="00A94C1A"/>
    <w:rsid w:val="00A94EFD"/>
    <w:rsid w:val="00A95CB0"/>
    <w:rsid w:val="00A96564"/>
    <w:rsid w:val="00A96BD7"/>
    <w:rsid w:val="00A973C0"/>
    <w:rsid w:val="00A97BCD"/>
    <w:rsid w:val="00A97D85"/>
    <w:rsid w:val="00AA1530"/>
    <w:rsid w:val="00AA161F"/>
    <w:rsid w:val="00AA243D"/>
    <w:rsid w:val="00AA2577"/>
    <w:rsid w:val="00AA28D5"/>
    <w:rsid w:val="00AA35EC"/>
    <w:rsid w:val="00AA3E2E"/>
    <w:rsid w:val="00AA42CE"/>
    <w:rsid w:val="00AA47D1"/>
    <w:rsid w:val="00AA55D9"/>
    <w:rsid w:val="00AA61E6"/>
    <w:rsid w:val="00AA64EE"/>
    <w:rsid w:val="00AA67CC"/>
    <w:rsid w:val="00AA6B7E"/>
    <w:rsid w:val="00AA7AC5"/>
    <w:rsid w:val="00AA7ED8"/>
    <w:rsid w:val="00AB0D9A"/>
    <w:rsid w:val="00AB0F1E"/>
    <w:rsid w:val="00AB1316"/>
    <w:rsid w:val="00AB1BF5"/>
    <w:rsid w:val="00AB2DC2"/>
    <w:rsid w:val="00AB32B5"/>
    <w:rsid w:val="00AB3A7C"/>
    <w:rsid w:val="00AB5168"/>
    <w:rsid w:val="00AB516D"/>
    <w:rsid w:val="00AB51D1"/>
    <w:rsid w:val="00AB526F"/>
    <w:rsid w:val="00AB60FE"/>
    <w:rsid w:val="00AB6994"/>
    <w:rsid w:val="00AB69F3"/>
    <w:rsid w:val="00AB6EDD"/>
    <w:rsid w:val="00AC12C4"/>
    <w:rsid w:val="00AC17AB"/>
    <w:rsid w:val="00AC192D"/>
    <w:rsid w:val="00AC1A27"/>
    <w:rsid w:val="00AC1A2E"/>
    <w:rsid w:val="00AC202B"/>
    <w:rsid w:val="00AC42B8"/>
    <w:rsid w:val="00AC4549"/>
    <w:rsid w:val="00AC4857"/>
    <w:rsid w:val="00AC5C91"/>
    <w:rsid w:val="00AC6BD5"/>
    <w:rsid w:val="00AD074A"/>
    <w:rsid w:val="00AD0B21"/>
    <w:rsid w:val="00AD2BDD"/>
    <w:rsid w:val="00AD3045"/>
    <w:rsid w:val="00AD3379"/>
    <w:rsid w:val="00AD37B0"/>
    <w:rsid w:val="00AD3AE1"/>
    <w:rsid w:val="00AD3E09"/>
    <w:rsid w:val="00AD3E79"/>
    <w:rsid w:val="00AD3EAC"/>
    <w:rsid w:val="00AD4136"/>
    <w:rsid w:val="00AD4B89"/>
    <w:rsid w:val="00AD5415"/>
    <w:rsid w:val="00AE09DB"/>
    <w:rsid w:val="00AE1614"/>
    <w:rsid w:val="00AE28D3"/>
    <w:rsid w:val="00AE3404"/>
    <w:rsid w:val="00AE6586"/>
    <w:rsid w:val="00AE67B6"/>
    <w:rsid w:val="00AE7AAE"/>
    <w:rsid w:val="00AE7C1F"/>
    <w:rsid w:val="00AF0FB0"/>
    <w:rsid w:val="00AF1BC4"/>
    <w:rsid w:val="00AF2510"/>
    <w:rsid w:val="00AF28DF"/>
    <w:rsid w:val="00AF3359"/>
    <w:rsid w:val="00AF487F"/>
    <w:rsid w:val="00AF5247"/>
    <w:rsid w:val="00AF7701"/>
    <w:rsid w:val="00B004CE"/>
    <w:rsid w:val="00B0078C"/>
    <w:rsid w:val="00B00AA6"/>
    <w:rsid w:val="00B00C48"/>
    <w:rsid w:val="00B00FD9"/>
    <w:rsid w:val="00B0126A"/>
    <w:rsid w:val="00B01B85"/>
    <w:rsid w:val="00B02B1D"/>
    <w:rsid w:val="00B0443C"/>
    <w:rsid w:val="00B04E38"/>
    <w:rsid w:val="00B04EEF"/>
    <w:rsid w:val="00B06972"/>
    <w:rsid w:val="00B069E3"/>
    <w:rsid w:val="00B07603"/>
    <w:rsid w:val="00B10201"/>
    <w:rsid w:val="00B115E0"/>
    <w:rsid w:val="00B11AB4"/>
    <w:rsid w:val="00B11DF7"/>
    <w:rsid w:val="00B11E01"/>
    <w:rsid w:val="00B132ED"/>
    <w:rsid w:val="00B13703"/>
    <w:rsid w:val="00B14217"/>
    <w:rsid w:val="00B149A8"/>
    <w:rsid w:val="00B15163"/>
    <w:rsid w:val="00B15D6C"/>
    <w:rsid w:val="00B1663E"/>
    <w:rsid w:val="00B17543"/>
    <w:rsid w:val="00B200F8"/>
    <w:rsid w:val="00B21352"/>
    <w:rsid w:val="00B214D8"/>
    <w:rsid w:val="00B21A41"/>
    <w:rsid w:val="00B226E3"/>
    <w:rsid w:val="00B23952"/>
    <w:rsid w:val="00B2443E"/>
    <w:rsid w:val="00B253DE"/>
    <w:rsid w:val="00B2582F"/>
    <w:rsid w:val="00B26248"/>
    <w:rsid w:val="00B26444"/>
    <w:rsid w:val="00B26B3C"/>
    <w:rsid w:val="00B26F9B"/>
    <w:rsid w:val="00B2707B"/>
    <w:rsid w:val="00B27924"/>
    <w:rsid w:val="00B27E10"/>
    <w:rsid w:val="00B27E2B"/>
    <w:rsid w:val="00B30B95"/>
    <w:rsid w:val="00B30BED"/>
    <w:rsid w:val="00B30EDB"/>
    <w:rsid w:val="00B31572"/>
    <w:rsid w:val="00B31E98"/>
    <w:rsid w:val="00B320AB"/>
    <w:rsid w:val="00B32933"/>
    <w:rsid w:val="00B33F73"/>
    <w:rsid w:val="00B33FDF"/>
    <w:rsid w:val="00B344D1"/>
    <w:rsid w:val="00B344F4"/>
    <w:rsid w:val="00B353BD"/>
    <w:rsid w:val="00B35AFA"/>
    <w:rsid w:val="00B3606E"/>
    <w:rsid w:val="00B36779"/>
    <w:rsid w:val="00B3701A"/>
    <w:rsid w:val="00B374EE"/>
    <w:rsid w:val="00B37F61"/>
    <w:rsid w:val="00B402F7"/>
    <w:rsid w:val="00B40846"/>
    <w:rsid w:val="00B416E6"/>
    <w:rsid w:val="00B4209F"/>
    <w:rsid w:val="00B43D7A"/>
    <w:rsid w:val="00B449E3"/>
    <w:rsid w:val="00B45600"/>
    <w:rsid w:val="00B46284"/>
    <w:rsid w:val="00B4638C"/>
    <w:rsid w:val="00B46714"/>
    <w:rsid w:val="00B46869"/>
    <w:rsid w:val="00B46A9D"/>
    <w:rsid w:val="00B46B87"/>
    <w:rsid w:val="00B46EC7"/>
    <w:rsid w:val="00B477A9"/>
    <w:rsid w:val="00B5153D"/>
    <w:rsid w:val="00B522B6"/>
    <w:rsid w:val="00B52EAA"/>
    <w:rsid w:val="00B53833"/>
    <w:rsid w:val="00B538A8"/>
    <w:rsid w:val="00B53CF0"/>
    <w:rsid w:val="00B53E24"/>
    <w:rsid w:val="00B546D4"/>
    <w:rsid w:val="00B5504D"/>
    <w:rsid w:val="00B56063"/>
    <w:rsid w:val="00B5626D"/>
    <w:rsid w:val="00B5734A"/>
    <w:rsid w:val="00B5776A"/>
    <w:rsid w:val="00B57E87"/>
    <w:rsid w:val="00B60CD3"/>
    <w:rsid w:val="00B61256"/>
    <w:rsid w:val="00B61D1D"/>
    <w:rsid w:val="00B63B6B"/>
    <w:rsid w:val="00B63D51"/>
    <w:rsid w:val="00B6518E"/>
    <w:rsid w:val="00B653FE"/>
    <w:rsid w:val="00B65CA0"/>
    <w:rsid w:val="00B6646A"/>
    <w:rsid w:val="00B6665F"/>
    <w:rsid w:val="00B66793"/>
    <w:rsid w:val="00B66D61"/>
    <w:rsid w:val="00B70DC8"/>
    <w:rsid w:val="00B719E5"/>
    <w:rsid w:val="00B73ADA"/>
    <w:rsid w:val="00B7492A"/>
    <w:rsid w:val="00B74D9E"/>
    <w:rsid w:val="00B7507E"/>
    <w:rsid w:val="00B754F1"/>
    <w:rsid w:val="00B76480"/>
    <w:rsid w:val="00B76D99"/>
    <w:rsid w:val="00B77547"/>
    <w:rsid w:val="00B77E0F"/>
    <w:rsid w:val="00B810BA"/>
    <w:rsid w:val="00B81D8B"/>
    <w:rsid w:val="00B82816"/>
    <w:rsid w:val="00B830D2"/>
    <w:rsid w:val="00B83C5E"/>
    <w:rsid w:val="00B841ED"/>
    <w:rsid w:val="00B85F31"/>
    <w:rsid w:val="00B86921"/>
    <w:rsid w:val="00B877E5"/>
    <w:rsid w:val="00B87B63"/>
    <w:rsid w:val="00B87D5A"/>
    <w:rsid w:val="00B904F8"/>
    <w:rsid w:val="00B90B16"/>
    <w:rsid w:val="00B90E99"/>
    <w:rsid w:val="00B9161F"/>
    <w:rsid w:val="00B91700"/>
    <w:rsid w:val="00B91A8C"/>
    <w:rsid w:val="00B924B9"/>
    <w:rsid w:val="00B92BE0"/>
    <w:rsid w:val="00B93A0F"/>
    <w:rsid w:val="00B93E3F"/>
    <w:rsid w:val="00B9416D"/>
    <w:rsid w:val="00B94447"/>
    <w:rsid w:val="00B94481"/>
    <w:rsid w:val="00B946CC"/>
    <w:rsid w:val="00B953A2"/>
    <w:rsid w:val="00B95708"/>
    <w:rsid w:val="00B96F98"/>
    <w:rsid w:val="00B972CD"/>
    <w:rsid w:val="00B97324"/>
    <w:rsid w:val="00B97339"/>
    <w:rsid w:val="00B97F1F"/>
    <w:rsid w:val="00BA0A6E"/>
    <w:rsid w:val="00BA24A4"/>
    <w:rsid w:val="00BA3365"/>
    <w:rsid w:val="00BA3CE7"/>
    <w:rsid w:val="00BA40D0"/>
    <w:rsid w:val="00BA481C"/>
    <w:rsid w:val="00BA5484"/>
    <w:rsid w:val="00BA61DB"/>
    <w:rsid w:val="00BA68EB"/>
    <w:rsid w:val="00BB00C3"/>
    <w:rsid w:val="00BB0B1D"/>
    <w:rsid w:val="00BB104C"/>
    <w:rsid w:val="00BB13ED"/>
    <w:rsid w:val="00BB1640"/>
    <w:rsid w:val="00BB2236"/>
    <w:rsid w:val="00BB32DF"/>
    <w:rsid w:val="00BB46EB"/>
    <w:rsid w:val="00BB47E8"/>
    <w:rsid w:val="00BB4C7A"/>
    <w:rsid w:val="00BB54AD"/>
    <w:rsid w:val="00BB65F7"/>
    <w:rsid w:val="00BB6600"/>
    <w:rsid w:val="00BB6F86"/>
    <w:rsid w:val="00BB7D6D"/>
    <w:rsid w:val="00BC0038"/>
    <w:rsid w:val="00BC1016"/>
    <w:rsid w:val="00BC1333"/>
    <w:rsid w:val="00BC1390"/>
    <w:rsid w:val="00BC21D9"/>
    <w:rsid w:val="00BC2716"/>
    <w:rsid w:val="00BC2C32"/>
    <w:rsid w:val="00BC2DD1"/>
    <w:rsid w:val="00BC3233"/>
    <w:rsid w:val="00BC3271"/>
    <w:rsid w:val="00BC4AC6"/>
    <w:rsid w:val="00BC4B9F"/>
    <w:rsid w:val="00BC63DC"/>
    <w:rsid w:val="00BC68E8"/>
    <w:rsid w:val="00BC6C4D"/>
    <w:rsid w:val="00BC781F"/>
    <w:rsid w:val="00BC78EB"/>
    <w:rsid w:val="00BC7C2D"/>
    <w:rsid w:val="00BD0040"/>
    <w:rsid w:val="00BD0581"/>
    <w:rsid w:val="00BD0C87"/>
    <w:rsid w:val="00BD0F98"/>
    <w:rsid w:val="00BD1DC0"/>
    <w:rsid w:val="00BD1E5F"/>
    <w:rsid w:val="00BD2960"/>
    <w:rsid w:val="00BD2A7B"/>
    <w:rsid w:val="00BD2AEC"/>
    <w:rsid w:val="00BD3079"/>
    <w:rsid w:val="00BD32DD"/>
    <w:rsid w:val="00BD4671"/>
    <w:rsid w:val="00BD4890"/>
    <w:rsid w:val="00BD49C3"/>
    <w:rsid w:val="00BD59E1"/>
    <w:rsid w:val="00BD5C54"/>
    <w:rsid w:val="00BD5EE1"/>
    <w:rsid w:val="00BD62A0"/>
    <w:rsid w:val="00BD6816"/>
    <w:rsid w:val="00BD74D8"/>
    <w:rsid w:val="00BE2545"/>
    <w:rsid w:val="00BE2AE0"/>
    <w:rsid w:val="00BE4817"/>
    <w:rsid w:val="00BE488B"/>
    <w:rsid w:val="00BE5997"/>
    <w:rsid w:val="00BE6858"/>
    <w:rsid w:val="00BE6A72"/>
    <w:rsid w:val="00BE78CD"/>
    <w:rsid w:val="00BE7BE5"/>
    <w:rsid w:val="00BF0068"/>
    <w:rsid w:val="00BF0247"/>
    <w:rsid w:val="00BF09FC"/>
    <w:rsid w:val="00BF0D5E"/>
    <w:rsid w:val="00BF2B99"/>
    <w:rsid w:val="00BF4280"/>
    <w:rsid w:val="00BF51F3"/>
    <w:rsid w:val="00BF56BE"/>
    <w:rsid w:val="00BF599B"/>
    <w:rsid w:val="00BF620A"/>
    <w:rsid w:val="00BF7362"/>
    <w:rsid w:val="00BF73C3"/>
    <w:rsid w:val="00C016EB"/>
    <w:rsid w:val="00C024FF"/>
    <w:rsid w:val="00C027FA"/>
    <w:rsid w:val="00C02B39"/>
    <w:rsid w:val="00C02EA8"/>
    <w:rsid w:val="00C0446A"/>
    <w:rsid w:val="00C049CF"/>
    <w:rsid w:val="00C064A3"/>
    <w:rsid w:val="00C0677E"/>
    <w:rsid w:val="00C079E1"/>
    <w:rsid w:val="00C10566"/>
    <w:rsid w:val="00C1084C"/>
    <w:rsid w:val="00C10E9E"/>
    <w:rsid w:val="00C11609"/>
    <w:rsid w:val="00C1210D"/>
    <w:rsid w:val="00C123BF"/>
    <w:rsid w:val="00C12B85"/>
    <w:rsid w:val="00C12D82"/>
    <w:rsid w:val="00C134CE"/>
    <w:rsid w:val="00C14116"/>
    <w:rsid w:val="00C14394"/>
    <w:rsid w:val="00C14BD7"/>
    <w:rsid w:val="00C168B5"/>
    <w:rsid w:val="00C17CCB"/>
    <w:rsid w:val="00C2020D"/>
    <w:rsid w:val="00C20654"/>
    <w:rsid w:val="00C20797"/>
    <w:rsid w:val="00C20BFA"/>
    <w:rsid w:val="00C20DC6"/>
    <w:rsid w:val="00C20FAA"/>
    <w:rsid w:val="00C2138A"/>
    <w:rsid w:val="00C232FA"/>
    <w:rsid w:val="00C233DC"/>
    <w:rsid w:val="00C23A17"/>
    <w:rsid w:val="00C25254"/>
    <w:rsid w:val="00C25C75"/>
    <w:rsid w:val="00C2621B"/>
    <w:rsid w:val="00C26A61"/>
    <w:rsid w:val="00C26CC4"/>
    <w:rsid w:val="00C26E2C"/>
    <w:rsid w:val="00C27179"/>
    <w:rsid w:val="00C27344"/>
    <w:rsid w:val="00C2740D"/>
    <w:rsid w:val="00C300EA"/>
    <w:rsid w:val="00C30A68"/>
    <w:rsid w:val="00C32AF1"/>
    <w:rsid w:val="00C34165"/>
    <w:rsid w:val="00C34209"/>
    <w:rsid w:val="00C34341"/>
    <w:rsid w:val="00C34535"/>
    <w:rsid w:val="00C3482B"/>
    <w:rsid w:val="00C35A77"/>
    <w:rsid w:val="00C36B28"/>
    <w:rsid w:val="00C37E85"/>
    <w:rsid w:val="00C40755"/>
    <w:rsid w:val="00C40C74"/>
    <w:rsid w:val="00C41B24"/>
    <w:rsid w:val="00C41FD7"/>
    <w:rsid w:val="00C426FE"/>
    <w:rsid w:val="00C42C07"/>
    <w:rsid w:val="00C42FEB"/>
    <w:rsid w:val="00C43280"/>
    <w:rsid w:val="00C44149"/>
    <w:rsid w:val="00C45864"/>
    <w:rsid w:val="00C45AF3"/>
    <w:rsid w:val="00C46034"/>
    <w:rsid w:val="00C4750C"/>
    <w:rsid w:val="00C479C2"/>
    <w:rsid w:val="00C47ABE"/>
    <w:rsid w:val="00C500C7"/>
    <w:rsid w:val="00C50A1C"/>
    <w:rsid w:val="00C50E93"/>
    <w:rsid w:val="00C514BF"/>
    <w:rsid w:val="00C519AD"/>
    <w:rsid w:val="00C5210A"/>
    <w:rsid w:val="00C52B4E"/>
    <w:rsid w:val="00C5327F"/>
    <w:rsid w:val="00C53B5E"/>
    <w:rsid w:val="00C54320"/>
    <w:rsid w:val="00C56315"/>
    <w:rsid w:val="00C56475"/>
    <w:rsid w:val="00C5699F"/>
    <w:rsid w:val="00C56F04"/>
    <w:rsid w:val="00C576C7"/>
    <w:rsid w:val="00C57E3D"/>
    <w:rsid w:val="00C60298"/>
    <w:rsid w:val="00C604A7"/>
    <w:rsid w:val="00C6218F"/>
    <w:rsid w:val="00C62725"/>
    <w:rsid w:val="00C6311A"/>
    <w:rsid w:val="00C6340E"/>
    <w:rsid w:val="00C6379A"/>
    <w:rsid w:val="00C63D3D"/>
    <w:rsid w:val="00C644B4"/>
    <w:rsid w:val="00C64DF5"/>
    <w:rsid w:val="00C66337"/>
    <w:rsid w:val="00C6637C"/>
    <w:rsid w:val="00C666A7"/>
    <w:rsid w:val="00C678C1"/>
    <w:rsid w:val="00C708CB"/>
    <w:rsid w:val="00C70F42"/>
    <w:rsid w:val="00C71199"/>
    <w:rsid w:val="00C72235"/>
    <w:rsid w:val="00C72C15"/>
    <w:rsid w:val="00C7356A"/>
    <w:rsid w:val="00C737B0"/>
    <w:rsid w:val="00C73F2E"/>
    <w:rsid w:val="00C74506"/>
    <w:rsid w:val="00C7477E"/>
    <w:rsid w:val="00C754E9"/>
    <w:rsid w:val="00C765B1"/>
    <w:rsid w:val="00C76883"/>
    <w:rsid w:val="00C770EC"/>
    <w:rsid w:val="00C77101"/>
    <w:rsid w:val="00C77375"/>
    <w:rsid w:val="00C77653"/>
    <w:rsid w:val="00C77A55"/>
    <w:rsid w:val="00C808BD"/>
    <w:rsid w:val="00C8159E"/>
    <w:rsid w:val="00C817C3"/>
    <w:rsid w:val="00C8199C"/>
    <w:rsid w:val="00C8322F"/>
    <w:rsid w:val="00C83738"/>
    <w:rsid w:val="00C83AA5"/>
    <w:rsid w:val="00C83DF9"/>
    <w:rsid w:val="00C84F1C"/>
    <w:rsid w:val="00C85254"/>
    <w:rsid w:val="00C85280"/>
    <w:rsid w:val="00C85823"/>
    <w:rsid w:val="00C86569"/>
    <w:rsid w:val="00C868BB"/>
    <w:rsid w:val="00C87147"/>
    <w:rsid w:val="00C9092B"/>
    <w:rsid w:val="00C90961"/>
    <w:rsid w:val="00C90D46"/>
    <w:rsid w:val="00C92437"/>
    <w:rsid w:val="00C93168"/>
    <w:rsid w:val="00C93D8D"/>
    <w:rsid w:val="00C94E47"/>
    <w:rsid w:val="00C95B10"/>
    <w:rsid w:val="00C95B36"/>
    <w:rsid w:val="00C97525"/>
    <w:rsid w:val="00C97A18"/>
    <w:rsid w:val="00C97E59"/>
    <w:rsid w:val="00CA0599"/>
    <w:rsid w:val="00CA0966"/>
    <w:rsid w:val="00CA0AF8"/>
    <w:rsid w:val="00CA16D7"/>
    <w:rsid w:val="00CA221F"/>
    <w:rsid w:val="00CA3009"/>
    <w:rsid w:val="00CA4287"/>
    <w:rsid w:val="00CA4C0E"/>
    <w:rsid w:val="00CA564C"/>
    <w:rsid w:val="00CA61EA"/>
    <w:rsid w:val="00CA6622"/>
    <w:rsid w:val="00CA698E"/>
    <w:rsid w:val="00CA6A82"/>
    <w:rsid w:val="00CA74B7"/>
    <w:rsid w:val="00CA7639"/>
    <w:rsid w:val="00CB09AD"/>
    <w:rsid w:val="00CB1013"/>
    <w:rsid w:val="00CB112E"/>
    <w:rsid w:val="00CB1A44"/>
    <w:rsid w:val="00CB2456"/>
    <w:rsid w:val="00CB26E7"/>
    <w:rsid w:val="00CB2816"/>
    <w:rsid w:val="00CB2AB6"/>
    <w:rsid w:val="00CB32D4"/>
    <w:rsid w:val="00CB3788"/>
    <w:rsid w:val="00CB3A1F"/>
    <w:rsid w:val="00CB3ABA"/>
    <w:rsid w:val="00CB3E78"/>
    <w:rsid w:val="00CB426C"/>
    <w:rsid w:val="00CB43BA"/>
    <w:rsid w:val="00CB53BC"/>
    <w:rsid w:val="00CB58C4"/>
    <w:rsid w:val="00CB5D66"/>
    <w:rsid w:val="00CB5FBA"/>
    <w:rsid w:val="00CB6160"/>
    <w:rsid w:val="00CB7F03"/>
    <w:rsid w:val="00CC017F"/>
    <w:rsid w:val="00CC099B"/>
    <w:rsid w:val="00CC1310"/>
    <w:rsid w:val="00CC15E0"/>
    <w:rsid w:val="00CC1BD2"/>
    <w:rsid w:val="00CC291E"/>
    <w:rsid w:val="00CC319A"/>
    <w:rsid w:val="00CC4644"/>
    <w:rsid w:val="00CC5D98"/>
    <w:rsid w:val="00CC6E3C"/>
    <w:rsid w:val="00CC6EAA"/>
    <w:rsid w:val="00CD155A"/>
    <w:rsid w:val="00CD1E36"/>
    <w:rsid w:val="00CD1F04"/>
    <w:rsid w:val="00CD2358"/>
    <w:rsid w:val="00CD28B4"/>
    <w:rsid w:val="00CD2C71"/>
    <w:rsid w:val="00CD38D1"/>
    <w:rsid w:val="00CD5436"/>
    <w:rsid w:val="00CD6BAA"/>
    <w:rsid w:val="00CD7333"/>
    <w:rsid w:val="00CE04E9"/>
    <w:rsid w:val="00CE0819"/>
    <w:rsid w:val="00CE09D4"/>
    <w:rsid w:val="00CE0EAA"/>
    <w:rsid w:val="00CE17AC"/>
    <w:rsid w:val="00CE1CC0"/>
    <w:rsid w:val="00CE2035"/>
    <w:rsid w:val="00CE2587"/>
    <w:rsid w:val="00CE2C5B"/>
    <w:rsid w:val="00CE3107"/>
    <w:rsid w:val="00CE3F29"/>
    <w:rsid w:val="00CE409B"/>
    <w:rsid w:val="00CE4F8B"/>
    <w:rsid w:val="00CE580E"/>
    <w:rsid w:val="00CE618F"/>
    <w:rsid w:val="00CE6907"/>
    <w:rsid w:val="00CE6C8C"/>
    <w:rsid w:val="00CE6E5F"/>
    <w:rsid w:val="00CF029C"/>
    <w:rsid w:val="00CF035D"/>
    <w:rsid w:val="00CF0F1D"/>
    <w:rsid w:val="00CF0F25"/>
    <w:rsid w:val="00CF1E0A"/>
    <w:rsid w:val="00CF3409"/>
    <w:rsid w:val="00CF3C0B"/>
    <w:rsid w:val="00CF5B7B"/>
    <w:rsid w:val="00CF5DE9"/>
    <w:rsid w:val="00CF615D"/>
    <w:rsid w:val="00CF66CE"/>
    <w:rsid w:val="00CF6877"/>
    <w:rsid w:val="00CF69EA"/>
    <w:rsid w:val="00CF6CF4"/>
    <w:rsid w:val="00CF784F"/>
    <w:rsid w:val="00CF7E4A"/>
    <w:rsid w:val="00D0185A"/>
    <w:rsid w:val="00D01E17"/>
    <w:rsid w:val="00D02C3B"/>
    <w:rsid w:val="00D040AC"/>
    <w:rsid w:val="00D0417A"/>
    <w:rsid w:val="00D04304"/>
    <w:rsid w:val="00D05DBB"/>
    <w:rsid w:val="00D0674E"/>
    <w:rsid w:val="00D0788A"/>
    <w:rsid w:val="00D07C86"/>
    <w:rsid w:val="00D07EA4"/>
    <w:rsid w:val="00D109AC"/>
    <w:rsid w:val="00D10A51"/>
    <w:rsid w:val="00D119E5"/>
    <w:rsid w:val="00D121BA"/>
    <w:rsid w:val="00D12538"/>
    <w:rsid w:val="00D125EF"/>
    <w:rsid w:val="00D12798"/>
    <w:rsid w:val="00D15770"/>
    <w:rsid w:val="00D15DE9"/>
    <w:rsid w:val="00D16404"/>
    <w:rsid w:val="00D16603"/>
    <w:rsid w:val="00D16B39"/>
    <w:rsid w:val="00D20D76"/>
    <w:rsid w:val="00D20EAB"/>
    <w:rsid w:val="00D21064"/>
    <w:rsid w:val="00D21A34"/>
    <w:rsid w:val="00D237A4"/>
    <w:rsid w:val="00D23B47"/>
    <w:rsid w:val="00D247B6"/>
    <w:rsid w:val="00D24D0E"/>
    <w:rsid w:val="00D2650D"/>
    <w:rsid w:val="00D27F63"/>
    <w:rsid w:val="00D314D8"/>
    <w:rsid w:val="00D32CA8"/>
    <w:rsid w:val="00D3418A"/>
    <w:rsid w:val="00D346FF"/>
    <w:rsid w:val="00D351A7"/>
    <w:rsid w:val="00D357CD"/>
    <w:rsid w:val="00D35B48"/>
    <w:rsid w:val="00D35EEB"/>
    <w:rsid w:val="00D35F40"/>
    <w:rsid w:val="00D3677B"/>
    <w:rsid w:val="00D36E1B"/>
    <w:rsid w:val="00D37AC2"/>
    <w:rsid w:val="00D37CF9"/>
    <w:rsid w:val="00D406A4"/>
    <w:rsid w:val="00D40C2D"/>
    <w:rsid w:val="00D410F9"/>
    <w:rsid w:val="00D411D7"/>
    <w:rsid w:val="00D41A23"/>
    <w:rsid w:val="00D42D5F"/>
    <w:rsid w:val="00D431A4"/>
    <w:rsid w:val="00D4377F"/>
    <w:rsid w:val="00D4389A"/>
    <w:rsid w:val="00D43E31"/>
    <w:rsid w:val="00D44286"/>
    <w:rsid w:val="00D446A3"/>
    <w:rsid w:val="00D4470B"/>
    <w:rsid w:val="00D44875"/>
    <w:rsid w:val="00D45A0F"/>
    <w:rsid w:val="00D45C21"/>
    <w:rsid w:val="00D45EB3"/>
    <w:rsid w:val="00D465E3"/>
    <w:rsid w:val="00D4693C"/>
    <w:rsid w:val="00D46A83"/>
    <w:rsid w:val="00D47080"/>
    <w:rsid w:val="00D47FBA"/>
    <w:rsid w:val="00D50046"/>
    <w:rsid w:val="00D50294"/>
    <w:rsid w:val="00D50F64"/>
    <w:rsid w:val="00D512D1"/>
    <w:rsid w:val="00D5167E"/>
    <w:rsid w:val="00D51DA1"/>
    <w:rsid w:val="00D52115"/>
    <w:rsid w:val="00D5217E"/>
    <w:rsid w:val="00D52671"/>
    <w:rsid w:val="00D52889"/>
    <w:rsid w:val="00D52B17"/>
    <w:rsid w:val="00D52EB8"/>
    <w:rsid w:val="00D53A1B"/>
    <w:rsid w:val="00D53E85"/>
    <w:rsid w:val="00D543A2"/>
    <w:rsid w:val="00D54E61"/>
    <w:rsid w:val="00D553FD"/>
    <w:rsid w:val="00D55634"/>
    <w:rsid w:val="00D57D5B"/>
    <w:rsid w:val="00D60974"/>
    <w:rsid w:val="00D6112F"/>
    <w:rsid w:val="00D6114C"/>
    <w:rsid w:val="00D624E1"/>
    <w:rsid w:val="00D6312A"/>
    <w:rsid w:val="00D63185"/>
    <w:rsid w:val="00D6342F"/>
    <w:rsid w:val="00D643EF"/>
    <w:rsid w:val="00D64AF2"/>
    <w:rsid w:val="00D64CD1"/>
    <w:rsid w:val="00D65CF6"/>
    <w:rsid w:val="00D66089"/>
    <w:rsid w:val="00D66D44"/>
    <w:rsid w:val="00D672AE"/>
    <w:rsid w:val="00D702CA"/>
    <w:rsid w:val="00D7116F"/>
    <w:rsid w:val="00D718B1"/>
    <w:rsid w:val="00D72862"/>
    <w:rsid w:val="00D731DA"/>
    <w:rsid w:val="00D73D75"/>
    <w:rsid w:val="00D7400F"/>
    <w:rsid w:val="00D74C9A"/>
    <w:rsid w:val="00D74DC5"/>
    <w:rsid w:val="00D7544B"/>
    <w:rsid w:val="00D75F40"/>
    <w:rsid w:val="00D76988"/>
    <w:rsid w:val="00D77AD2"/>
    <w:rsid w:val="00D77DE4"/>
    <w:rsid w:val="00D801F9"/>
    <w:rsid w:val="00D80C82"/>
    <w:rsid w:val="00D80CE1"/>
    <w:rsid w:val="00D81DD1"/>
    <w:rsid w:val="00D81EFC"/>
    <w:rsid w:val="00D821D7"/>
    <w:rsid w:val="00D82322"/>
    <w:rsid w:val="00D82334"/>
    <w:rsid w:val="00D82720"/>
    <w:rsid w:val="00D8384F"/>
    <w:rsid w:val="00D83B50"/>
    <w:rsid w:val="00D84583"/>
    <w:rsid w:val="00D84A96"/>
    <w:rsid w:val="00D85030"/>
    <w:rsid w:val="00D86195"/>
    <w:rsid w:val="00D862A3"/>
    <w:rsid w:val="00D862DA"/>
    <w:rsid w:val="00D87647"/>
    <w:rsid w:val="00D90280"/>
    <w:rsid w:val="00D90315"/>
    <w:rsid w:val="00D91D86"/>
    <w:rsid w:val="00D91E56"/>
    <w:rsid w:val="00D92275"/>
    <w:rsid w:val="00D9287E"/>
    <w:rsid w:val="00D92B10"/>
    <w:rsid w:val="00D93ECE"/>
    <w:rsid w:val="00D947A8"/>
    <w:rsid w:val="00D947C2"/>
    <w:rsid w:val="00D967D8"/>
    <w:rsid w:val="00D96EA7"/>
    <w:rsid w:val="00D972B6"/>
    <w:rsid w:val="00DA0309"/>
    <w:rsid w:val="00DA060D"/>
    <w:rsid w:val="00DA0E5B"/>
    <w:rsid w:val="00DA1FD1"/>
    <w:rsid w:val="00DA3CA0"/>
    <w:rsid w:val="00DA3DAB"/>
    <w:rsid w:val="00DA424E"/>
    <w:rsid w:val="00DA444B"/>
    <w:rsid w:val="00DA452F"/>
    <w:rsid w:val="00DA45ED"/>
    <w:rsid w:val="00DA46C3"/>
    <w:rsid w:val="00DA4D65"/>
    <w:rsid w:val="00DA5C70"/>
    <w:rsid w:val="00DA5D56"/>
    <w:rsid w:val="00DA5E45"/>
    <w:rsid w:val="00DA7ADF"/>
    <w:rsid w:val="00DA7D43"/>
    <w:rsid w:val="00DB0AF2"/>
    <w:rsid w:val="00DB0E65"/>
    <w:rsid w:val="00DB2507"/>
    <w:rsid w:val="00DB32C8"/>
    <w:rsid w:val="00DB4DC5"/>
    <w:rsid w:val="00DB4E22"/>
    <w:rsid w:val="00DB4FB7"/>
    <w:rsid w:val="00DB5427"/>
    <w:rsid w:val="00DB5A0D"/>
    <w:rsid w:val="00DB5AEF"/>
    <w:rsid w:val="00DB6A05"/>
    <w:rsid w:val="00DB6B6B"/>
    <w:rsid w:val="00DB741F"/>
    <w:rsid w:val="00DB7AFE"/>
    <w:rsid w:val="00DC0F93"/>
    <w:rsid w:val="00DC118F"/>
    <w:rsid w:val="00DC1DAC"/>
    <w:rsid w:val="00DC295A"/>
    <w:rsid w:val="00DC3783"/>
    <w:rsid w:val="00DC3924"/>
    <w:rsid w:val="00DC4F85"/>
    <w:rsid w:val="00DC5890"/>
    <w:rsid w:val="00DC5D98"/>
    <w:rsid w:val="00DC5ED3"/>
    <w:rsid w:val="00DC76BA"/>
    <w:rsid w:val="00DC7D66"/>
    <w:rsid w:val="00DD04EE"/>
    <w:rsid w:val="00DD0DB5"/>
    <w:rsid w:val="00DD17EE"/>
    <w:rsid w:val="00DD276B"/>
    <w:rsid w:val="00DD2B70"/>
    <w:rsid w:val="00DD2BA8"/>
    <w:rsid w:val="00DD3837"/>
    <w:rsid w:val="00DD4326"/>
    <w:rsid w:val="00DD4400"/>
    <w:rsid w:val="00DD472E"/>
    <w:rsid w:val="00DD59AE"/>
    <w:rsid w:val="00DD5D4E"/>
    <w:rsid w:val="00DD6C05"/>
    <w:rsid w:val="00DD709D"/>
    <w:rsid w:val="00DD78DD"/>
    <w:rsid w:val="00DE07ED"/>
    <w:rsid w:val="00DE095C"/>
    <w:rsid w:val="00DE1A4C"/>
    <w:rsid w:val="00DE1CE9"/>
    <w:rsid w:val="00DE23D3"/>
    <w:rsid w:val="00DE3153"/>
    <w:rsid w:val="00DE377D"/>
    <w:rsid w:val="00DE3E85"/>
    <w:rsid w:val="00DE403A"/>
    <w:rsid w:val="00DE4685"/>
    <w:rsid w:val="00DE47FA"/>
    <w:rsid w:val="00DE4A58"/>
    <w:rsid w:val="00DE5638"/>
    <w:rsid w:val="00DE66F6"/>
    <w:rsid w:val="00DE6A98"/>
    <w:rsid w:val="00DE71C5"/>
    <w:rsid w:val="00DE78E3"/>
    <w:rsid w:val="00DF0BE0"/>
    <w:rsid w:val="00DF1CD6"/>
    <w:rsid w:val="00DF1CF5"/>
    <w:rsid w:val="00DF381C"/>
    <w:rsid w:val="00DF4258"/>
    <w:rsid w:val="00DF48A7"/>
    <w:rsid w:val="00DF49F9"/>
    <w:rsid w:val="00DF4C78"/>
    <w:rsid w:val="00DF54E3"/>
    <w:rsid w:val="00DF5D0C"/>
    <w:rsid w:val="00DF6808"/>
    <w:rsid w:val="00DF68BD"/>
    <w:rsid w:val="00DF7771"/>
    <w:rsid w:val="00DF7AE8"/>
    <w:rsid w:val="00E00EE7"/>
    <w:rsid w:val="00E01224"/>
    <w:rsid w:val="00E02347"/>
    <w:rsid w:val="00E03099"/>
    <w:rsid w:val="00E03592"/>
    <w:rsid w:val="00E036A2"/>
    <w:rsid w:val="00E04F31"/>
    <w:rsid w:val="00E05F28"/>
    <w:rsid w:val="00E07EB8"/>
    <w:rsid w:val="00E110B0"/>
    <w:rsid w:val="00E114C3"/>
    <w:rsid w:val="00E11C37"/>
    <w:rsid w:val="00E11CDF"/>
    <w:rsid w:val="00E11DBD"/>
    <w:rsid w:val="00E11EAB"/>
    <w:rsid w:val="00E12A4D"/>
    <w:rsid w:val="00E12EFD"/>
    <w:rsid w:val="00E1315D"/>
    <w:rsid w:val="00E1373F"/>
    <w:rsid w:val="00E13748"/>
    <w:rsid w:val="00E138E0"/>
    <w:rsid w:val="00E13B9A"/>
    <w:rsid w:val="00E13E86"/>
    <w:rsid w:val="00E142C6"/>
    <w:rsid w:val="00E145E6"/>
    <w:rsid w:val="00E153B6"/>
    <w:rsid w:val="00E15DD9"/>
    <w:rsid w:val="00E173C6"/>
    <w:rsid w:val="00E17408"/>
    <w:rsid w:val="00E177DF"/>
    <w:rsid w:val="00E17DE7"/>
    <w:rsid w:val="00E20D5A"/>
    <w:rsid w:val="00E22536"/>
    <w:rsid w:val="00E227F3"/>
    <w:rsid w:val="00E237DE"/>
    <w:rsid w:val="00E23969"/>
    <w:rsid w:val="00E23DD9"/>
    <w:rsid w:val="00E2457D"/>
    <w:rsid w:val="00E25E63"/>
    <w:rsid w:val="00E261C7"/>
    <w:rsid w:val="00E26B93"/>
    <w:rsid w:val="00E277D1"/>
    <w:rsid w:val="00E301D9"/>
    <w:rsid w:val="00E307F1"/>
    <w:rsid w:val="00E30A62"/>
    <w:rsid w:val="00E312B3"/>
    <w:rsid w:val="00E31923"/>
    <w:rsid w:val="00E32EDE"/>
    <w:rsid w:val="00E33361"/>
    <w:rsid w:val="00E336EC"/>
    <w:rsid w:val="00E33934"/>
    <w:rsid w:val="00E35D78"/>
    <w:rsid w:val="00E3622C"/>
    <w:rsid w:val="00E36906"/>
    <w:rsid w:val="00E36F82"/>
    <w:rsid w:val="00E37747"/>
    <w:rsid w:val="00E37C54"/>
    <w:rsid w:val="00E37F58"/>
    <w:rsid w:val="00E40113"/>
    <w:rsid w:val="00E40997"/>
    <w:rsid w:val="00E40EE0"/>
    <w:rsid w:val="00E41727"/>
    <w:rsid w:val="00E42363"/>
    <w:rsid w:val="00E429E4"/>
    <w:rsid w:val="00E4326A"/>
    <w:rsid w:val="00E43E7A"/>
    <w:rsid w:val="00E4450B"/>
    <w:rsid w:val="00E4467C"/>
    <w:rsid w:val="00E4494A"/>
    <w:rsid w:val="00E47487"/>
    <w:rsid w:val="00E47DDB"/>
    <w:rsid w:val="00E50433"/>
    <w:rsid w:val="00E50701"/>
    <w:rsid w:val="00E50719"/>
    <w:rsid w:val="00E50F2C"/>
    <w:rsid w:val="00E51162"/>
    <w:rsid w:val="00E52013"/>
    <w:rsid w:val="00E522AC"/>
    <w:rsid w:val="00E527AA"/>
    <w:rsid w:val="00E52F62"/>
    <w:rsid w:val="00E548D2"/>
    <w:rsid w:val="00E55B1C"/>
    <w:rsid w:val="00E56481"/>
    <w:rsid w:val="00E56BE6"/>
    <w:rsid w:val="00E5717D"/>
    <w:rsid w:val="00E5725A"/>
    <w:rsid w:val="00E605CD"/>
    <w:rsid w:val="00E60CB3"/>
    <w:rsid w:val="00E613A7"/>
    <w:rsid w:val="00E61CE8"/>
    <w:rsid w:val="00E62DEE"/>
    <w:rsid w:val="00E62EA3"/>
    <w:rsid w:val="00E6314E"/>
    <w:rsid w:val="00E631D5"/>
    <w:rsid w:val="00E6384F"/>
    <w:rsid w:val="00E640A0"/>
    <w:rsid w:val="00E64982"/>
    <w:rsid w:val="00E66A0E"/>
    <w:rsid w:val="00E66C7A"/>
    <w:rsid w:val="00E675B9"/>
    <w:rsid w:val="00E67AB6"/>
    <w:rsid w:val="00E67F33"/>
    <w:rsid w:val="00E7094C"/>
    <w:rsid w:val="00E7098F"/>
    <w:rsid w:val="00E70B0C"/>
    <w:rsid w:val="00E70FAA"/>
    <w:rsid w:val="00E714F7"/>
    <w:rsid w:val="00E71BF8"/>
    <w:rsid w:val="00E72223"/>
    <w:rsid w:val="00E72297"/>
    <w:rsid w:val="00E72D82"/>
    <w:rsid w:val="00E72EEA"/>
    <w:rsid w:val="00E73F7C"/>
    <w:rsid w:val="00E74106"/>
    <w:rsid w:val="00E7417E"/>
    <w:rsid w:val="00E74FC3"/>
    <w:rsid w:val="00E752DE"/>
    <w:rsid w:val="00E75FD6"/>
    <w:rsid w:val="00E77390"/>
    <w:rsid w:val="00E77C1A"/>
    <w:rsid w:val="00E823EB"/>
    <w:rsid w:val="00E824C8"/>
    <w:rsid w:val="00E83949"/>
    <w:rsid w:val="00E83B1D"/>
    <w:rsid w:val="00E83C9E"/>
    <w:rsid w:val="00E848C0"/>
    <w:rsid w:val="00E85D45"/>
    <w:rsid w:val="00E8695F"/>
    <w:rsid w:val="00E86C25"/>
    <w:rsid w:val="00E876A7"/>
    <w:rsid w:val="00E876AF"/>
    <w:rsid w:val="00E914D4"/>
    <w:rsid w:val="00E91970"/>
    <w:rsid w:val="00E94CAA"/>
    <w:rsid w:val="00E95CAE"/>
    <w:rsid w:val="00E95D1B"/>
    <w:rsid w:val="00E963D3"/>
    <w:rsid w:val="00E963FB"/>
    <w:rsid w:val="00E96502"/>
    <w:rsid w:val="00E97B69"/>
    <w:rsid w:val="00EA0BED"/>
    <w:rsid w:val="00EA12C0"/>
    <w:rsid w:val="00EA25E1"/>
    <w:rsid w:val="00EA2A64"/>
    <w:rsid w:val="00EA3677"/>
    <w:rsid w:val="00EA37AD"/>
    <w:rsid w:val="00EA3F48"/>
    <w:rsid w:val="00EA4256"/>
    <w:rsid w:val="00EA4690"/>
    <w:rsid w:val="00EA4881"/>
    <w:rsid w:val="00EA4A4F"/>
    <w:rsid w:val="00EA7071"/>
    <w:rsid w:val="00EA7F9B"/>
    <w:rsid w:val="00EB01C7"/>
    <w:rsid w:val="00EB0257"/>
    <w:rsid w:val="00EB1043"/>
    <w:rsid w:val="00EB13D8"/>
    <w:rsid w:val="00EB1662"/>
    <w:rsid w:val="00EB27FC"/>
    <w:rsid w:val="00EB29B1"/>
    <w:rsid w:val="00EB2D51"/>
    <w:rsid w:val="00EB2E38"/>
    <w:rsid w:val="00EB2EB4"/>
    <w:rsid w:val="00EB2FAD"/>
    <w:rsid w:val="00EB3583"/>
    <w:rsid w:val="00EB4628"/>
    <w:rsid w:val="00EB4F26"/>
    <w:rsid w:val="00EB4FDE"/>
    <w:rsid w:val="00EB54F1"/>
    <w:rsid w:val="00EB6281"/>
    <w:rsid w:val="00EB65D9"/>
    <w:rsid w:val="00EB7085"/>
    <w:rsid w:val="00EC01BE"/>
    <w:rsid w:val="00EC0EA3"/>
    <w:rsid w:val="00EC11F1"/>
    <w:rsid w:val="00EC26A0"/>
    <w:rsid w:val="00EC287B"/>
    <w:rsid w:val="00EC32FA"/>
    <w:rsid w:val="00EC3C7E"/>
    <w:rsid w:val="00EC51FB"/>
    <w:rsid w:val="00EC635C"/>
    <w:rsid w:val="00EC6A23"/>
    <w:rsid w:val="00EC6C1D"/>
    <w:rsid w:val="00ED0EEA"/>
    <w:rsid w:val="00ED1261"/>
    <w:rsid w:val="00ED1AA4"/>
    <w:rsid w:val="00ED2479"/>
    <w:rsid w:val="00ED2938"/>
    <w:rsid w:val="00ED3C4A"/>
    <w:rsid w:val="00ED4455"/>
    <w:rsid w:val="00ED44D8"/>
    <w:rsid w:val="00ED46BE"/>
    <w:rsid w:val="00ED5563"/>
    <w:rsid w:val="00ED5DE7"/>
    <w:rsid w:val="00ED6198"/>
    <w:rsid w:val="00ED636A"/>
    <w:rsid w:val="00ED667A"/>
    <w:rsid w:val="00ED6D5B"/>
    <w:rsid w:val="00ED792E"/>
    <w:rsid w:val="00ED7B7A"/>
    <w:rsid w:val="00ED7D0A"/>
    <w:rsid w:val="00ED7E63"/>
    <w:rsid w:val="00ED7E93"/>
    <w:rsid w:val="00EE0AC6"/>
    <w:rsid w:val="00EE1E4B"/>
    <w:rsid w:val="00EE2C66"/>
    <w:rsid w:val="00EE3EA6"/>
    <w:rsid w:val="00EE40CE"/>
    <w:rsid w:val="00EE4664"/>
    <w:rsid w:val="00EE5828"/>
    <w:rsid w:val="00EE6BD7"/>
    <w:rsid w:val="00EE6E06"/>
    <w:rsid w:val="00EE6E35"/>
    <w:rsid w:val="00EE7656"/>
    <w:rsid w:val="00EE7AAD"/>
    <w:rsid w:val="00EF0BC0"/>
    <w:rsid w:val="00EF0EE3"/>
    <w:rsid w:val="00EF1478"/>
    <w:rsid w:val="00EF22A5"/>
    <w:rsid w:val="00EF29F6"/>
    <w:rsid w:val="00EF334D"/>
    <w:rsid w:val="00EF3716"/>
    <w:rsid w:val="00EF46E5"/>
    <w:rsid w:val="00EF4799"/>
    <w:rsid w:val="00EF6C2D"/>
    <w:rsid w:val="00EF6D5A"/>
    <w:rsid w:val="00EF6FE8"/>
    <w:rsid w:val="00EF7665"/>
    <w:rsid w:val="00F00213"/>
    <w:rsid w:val="00F00880"/>
    <w:rsid w:val="00F00E08"/>
    <w:rsid w:val="00F0168C"/>
    <w:rsid w:val="00F02E86"/>
    <w:rsid w:val="00F05E13"/>
    <w:rsid w:val="00F0627F"/>
    <w:rsid w:val="00F066A9"/>
    <w:rsid w:val="00F0688D"/>
    <w:rsid w:val="00F06D64"/>
    <w:rsid w:val="00F1035E"/>
    <w:rsid w:val="00F109B3"/>
    <w:rsid w:val="00F12735"/>
    <w:rsid w:val="00F12963"/>
    <w:rsid w:val="00F131D7"/>
    <w:rsid w:val="00F153EA"/>
    <w:rsid w:val="00F16630"/>
    <w:rsid w:val="00F166DF"/>
    <w:rsid w:val="00F16D99"/>
    <w:rsid w:val="00F170E9"/>
    <w:rsid w:val="00F173A0"/>
    <w:rsid w:val="00F173E4"/>
    <w:rsid w:val="00F1783E"/>
    <w:rsid w:val="00F206FF"/>
    <w:rsid w:val="00F216A0"/>
    <w:rsid w:val="00F21DAC"/>
    <w:rsid w:val="00F21E67"/>
    <w:rsid w:val="00F2246F"/>
    <w:rsid w:val="00F225EF"/>
    <w:rsid w:val="00F234AD"/>
    <w:rsid w:val="00F23ECB"/>
    <w:rsid w:val="00F24216"/>
    <w:rsid w:val="00F24836"/>
    <w:rsid w:val="00F2543B"/>
    <w:rsid w:val="00F26437"/>
    <w:rsid w:val="00F26762"/>
    <w:rsid w:val="00F276BD"/>
    <w:rsid w:val="00F27729"/>
    <w:rsid w:val="00F30782"/>
    <w:rsid w:val="00F31873"/>
    <w:rsid w:val="00F32164"/>
    <w:rsid w:val="00F324EA"/>
    <w:rsid w:val="00F34330"/>
    <w:rsid w:val="00F35038"/>
    <w:rsid w:val="00F35672"/>
    <w:rsid w:val="00F3711A"/>
    <w:rsid w:val="00F3777B"/>
    <w:rsid w:val="00F408A1"/>
    <w:rsid w:val="00F40902"/>
    <w:rsid w:val="00F40913"/>
    <w:rsid w:val="00F40B52"/>
    <w:rsid w:val="00F40F75"/>
    <w:rsid w:val="00F41027"/>
    <w:rsid w:val="00F41C50"/>
    <w:rsid w:val="00F423E2"/>
    <w:rsid w:val="00F42DED"/>
    <w:rsid w:val="00F43529"/>
    <w:rsid w:val="00F43BAF"/>
    <w:rsid w:val="00F43CEA"/>
    <w:rsid w:val="00F44071"/>
    <w:rsid w:val="00F441EC"/>
    <w:rsid w:val="00F45222"/>
    <w:rsid w:val="00F4574C"/>
    <w:rsid w:val="00F459DD"/>
    <w:rsid w:val="00F460A4"/>
    <w:rsid w:val="00F46485"/>
    <w:rsid w:val="00F47085"/>
    <w:rsid w:val="00F47432"/>
    <w:rsid w:val="00F477B5"/>
    <w:rsid w:val="00F47A3D"/>
    <w:rsid w:val="00F50A95"/>
    <w:rsid w:val="00F5146E"/>
    <w:rsid w:val="00F520CA"/>
    <w:rsid w:val="00F53621"/>
    <w:rsid w:val="00F54CC0"/>
    <w:rsid w:val="00F55059"/>
    <w:rsid w:val="00F55088"/>
    <w:rsid w:val="00F550E8"/>
    <w:rsid w:val="00F5526E"/>
    <w:rsid w:val="00F56240"/>
    <w:rsid w:val="00F562F9"/>
    <w:rsid w:val="00F56DA4"/>
    <w:rsid w:val="00F57915"/>
    <w:rsid w:val="00F57F71"/>
    <w:rsid w:val="00F6077E"/>
    <w:rsid w:val="00F619AB"/>
    <w:rsid w:val="00F61F77"/>
    <w:rsid w:val="00F62186"/>
    <w:rsid w:val="00F6241F"/>
    <w:rsid w:val="00F62A70"/>
    <w:rsid w:val="00F62DD2"/>
    <w:rsid w:val="00F63565"/>
    <w:rsid w:val="00F63892"/>
    <w:rsid w:val="00F64041"/>
    <w:rsid w:val="00F64053"/>
    <w:rsid w:val="00F64F1D"/>
    <w:rsid w:val="00F650C4"/>
    <w:rsid w:val="00F66FCB"/>
    <w:rsid w:val="00F679C8"/>
    <w:rsid w:val="00F67A60"/>
    <w:rsid w:val="00F67DFA"/>
    <w:rsid w:val="00F70001"/>
    <w:rsid w:val="00F71694"/>
    <w:rsid w:val="00F71713"/>
    <w:rsid w:val="00F71BEB"/>
    <w:rsid w:val="00F71BEF"/>
    <w:rsid w:val="00F72A19"/>
    <w:rsid w:val="00F72C79"/>
    <w:rsid w:val="00F72CDA"/>
    <w:rsid w:val="00F72D28"/>
    <w:rsid w:val="00F73085"/>
    <w:rsid w:val="00F731C4"/>
    <w:rsid w:val="00F739BE"/>
    <w:rsid w:val="00F73AF4"/>
    <w:rsid w:val="00F748D7"/>
    <w:rsid w:val="00F75016"/>
    <w:rsid w:val="00F75208"/>
    <w:rsid w:val="00F757D6"/>
    <w:rsid w:val="00F75B6F"/>
    <w:rsid w:val="00F77B79"/>
    <w:rsid w:val="00F77C75"/>
    <w:rsid w:val="00F82A90"/>
    <w:rsid w:val="00F82C55"/>
    <w:rsid w:val="00F82E62"/>
    <w:rsid w:val="00F836B9"/>
    <w:rsid w:val="00F84394"/>
    <w:rsid w:val="00F845A6"/>
    <w:rsid w:val="00F849E2"/>
    <w:rsid w:val="00F84D2C"/>
    <w:rsid w:val="00F84D63"/>
    <w:rsid w:val="00F855D7"/>
    <w:rsid w:val="00F85A17"/>
    <w:rsid w:val="00F86DF4"/>
    <w:rsid w:val="00F870DE"/>
    <w:rsid w:val="00F871B9"/>
    <w:rsid w:val="00F91065"/>
    <w:rsid w:val="00F9185E"/>
    <w:rsid w:val="00F91D8A"/>
    <w:rsid w:val="00F92D2F"/>
    <w:rsid w:val="00F934EA"/>
    <w:rsid w:val="00F9353E"/>
    <w:rsid w:val="00F93932"/>
    <w:rsid w:val="00F93C48"/>
    <w:rsid w:val="00F941C5"/>
    <w:rsid w:val="00F94E98"/>
    <w:rsid w:val="00F955F5"/>
    <w:rsid w:val="00F9593F"/>
    <w:rsid w:val="00F95A39"/>
    <w:rsid w:val="00F96577"/>
    <w:rsid w:val="00F97184"/>
    <w:rsid w:val="00F97C1F"/>
    <w:rsid w:val="00FA1940"/>
    <w:rsid w:val="00FA1B0B"/>
    <w:rsid w:val="00FA29D3"/>
    <w:rsid w:val="00FA3515"/>
    <w:rsid w:val="00FA382B"/>
    <w:rsid w:val="00FA437A"/>
    <w:rsid w:val="00FA4C6E"/>
    <w:rsid w:val="00FA5CE7"/>
    <w:rsid w:val="00FA616E"/>
    <w:rsid w:val="00FA63F8"/>
    <w:rsid w:val="00FA6686"/>
    <w:rsid w:val="00FA6EC0"/>
    <w:rsid w:val="00FA7714"/>
    <w:rsid w:val="00FA77A5"/>
    <w:rsid w:val="00FA7D12"/>
    <w:rsid w:val="00FB0056"/>
    <w:rsid w:val="00FB1338"/>
    <w:rsid w:val="00FB18AA"/>
    <w:rsid w:val="00FB2649"/>
    <w:rsid w:val="00FB283B"/>
    <w:rsid w:val="00FB2A9C"/>
    <w:rsid w:val="00FB2FFD"/>
    <w:rsid w:val="00FB4F5D"/>
    <w:rsid w:val="00FB5742"/>
    <w:rsid w:val="00FB5E6C"/>
    <w:rsid w:val="00FB5F07"/>
    <w:rsid w:val="00FB683B"/>
    <w:rsid w:val="00FB7FD8"/>
    <w:rsid w:val="00FC006A"/>
    <w:rsid w:val="00FC05F5"/>
    <w:rsid w:val="00FC09B4"/>
    <w:rsid w:val="00FC0E12"/>
    <w:rsid w:val="00FC0ECC"/>
    <w:rsid w:val="00FC261C"/>
    <w:rsid w:val="00FC27FD"/>
    <w:rsid w:val="00FC386E"/>
    <w:rsid w:val="00FC3918"/>
    <w:rsid w:val="00FC3BAD"/>
    <w:rsid w:val="00FC41AD"/>
    <w:rsid w:val="00FC4485"/>
    <w:rsid w:val="00FC48B3"/>
    <w:rsid w:val="00FC4DC8"/>
    <w:rsid w:val="00FC51E6"/>
    <w:rsid w:val="00FC5CBC"/>
    <w:rsid w:val="00FD012A"/>
    <w:rsid w:val="00FD0385"/>
    <w:rsid w:val="00FD0471"/>
    <w:rsid w:val="00FD1C9C"/>
    <w:rsid w:val="00FD2C1B"/>
    <w:rsid w:val="00FD36E4"/>
    <w:rsid w:val="00FD48EA"/>
    <w:rsid w:val="00FD5296"/>
    <w:rsid w:val="00FD53AA"/>
    <w:rsid w:val="00FD54F8"/>
    <w:rsid w:val="00FD57BA"/>
    <w:rsid w:val="00FD6251"/>
    <w:rsid w:val="00FD73B0"/>
    <w:rsid w:val="00FD746C"/>
    <w:rsid w:val="00FD76C1"/>
    <w:rsid w:val="00FD7CB3"/>
    <w:rsid w:val="00FD7EE9"/>
    <w:rsid w:val="00FD7F23"/>
    <w:rsid w:val="00FE001A"/>
    <w:rsid w:val="00FE0521"/>
    <w:rsid w:val="00FE07BD"/>
    <w:rsid w:val="00FE0806"/>
    <w:rsid w:val="00FE0AD7"/>
    <w:rsid w:val="00FE104F"/>
    <w:rsid w:val="00FE1242"/>
    <w:rsid w:val="00FE1626"/>
    <w:rsid w:val="00FE1D3B"/>
    <w:rsid w:val="00FE2CFC"/>
    <w:rsid w:val="00FE2DD2"/>
    <w:rsid w:val="00FE2DD3"/>
    <w:rsid w:val="00FE37B7"/>
    <w:rsid w:val="00FE3A14"/>
    <w:rsid w:val="00FE50EC"/>
    <w:rsid w:val="00FE53A1"/>
    <w:rsid w:val="00FE57FA"/>
    <w:rsid w:val="00FE6639"/>
    <w:rsid w:val="00FF0106"/>
    <w:rsid w:val="00FF22F7"/>
    <w:rsid w:val="00FF249E"/>
    <w:rsid w:val="00FF3575"/>
    <w:rsid w:val="00FF3BD8"/>
    <w:rsid w:val="00FF3FB1"/>
    <w:rsid w:val="00FF43F8"/>
    <w:rsid w:val="00FF48B6"/>
    <w:rsid w:val="00FF591C"/>
    <w:rsid w:val="00FF6747"/>
    <w:rsid w:val="00FF6EC3"/>
    <w:rsid w:val="00FF72B9"/>
    <w:rsid w:val="00FF7A39"/>
    <w:rsid w:val="01082F21"/>
    <w:rsid w:val="01211959"/>
    <w:rsid w:val="014A7875"/>
    <w:rsid w:val="014B4EA1"/>
    <w:rsid w:val="01675EFF"/>
    <w:rsid w:val="017775E7"/>
    <w:rsid w:val="01890BBD"/>
    <w:rsid w:val="01B519A9"/>
    <w:rsid w:val="01CC1A40"/>
    <w:rsid w:val="01D90B32"/>
    <w:rsid w:val="01DA09DB"/>
    <w:rsid w:val="01EF3171"/>
    <w:rsid w:val="01F346F7"/>
    <w:rsid w:val="024A2A22"/>
    <w:rsid w:val="02AD0608"/>
    <w:rsid w:val="02AD32CA"/>
    <w:rsid w:val="02B95ECE"/>
    <w:rsid w:val="02D2672C"/>
    <w:rsid w:val="02DD1A2B"/>
    <w:rsid w:val="02DE14F5"/>
    <w:rsid w:val="02F97EE0"/>
    <w:rsid w:val="02FA438B"/>
    <w:rsid w:val="030B691C"/>
    <w:rsid w:val="0334789D"/>
    <w:rsid w:val="033665AE"/>
    <w:rsid w:val="033A2423"/>
    <w:rsid w:val="0384511A"/>
    <w:rsid w:val="038A76A9"/>
    <w:rsid w:val="03AE2EBB"/>
    <w:rsid w:val="03C62022"/>
    <w:rsid w:val="03D6173D"/>
    <w:rsid w:val="03E35CFF"/>
    <w:rsid w:val="04332A75"/>
    <w:rsid w:val="044C7704"/>
    <w:rsid w:val="0465170E"/>
    <w:rsid w:val="046A6FC8"/>
    <w:rsid w:val="04840B3A"/>
    <w:rsid w:val="04B52267"/>
    <w:rsid w:val="04BD6CC3"/>
    <w:rsid w:val="04F963FB"/>
    <w:rsid w:val="04FA4B16"/>
    <w:rsid w:val="05022DFB"/>
    <w:rsid w:val="05027EB1"/>
    <w:rsid w:val="05033141"/>
    <w:rsid w:val="051C1F91"/>
    <w:rsid w:val="052427FA"/>
    <w:rsid w:val="052F5EDB"/>
    <w:rsid w:val="053553E8"/>
    <w:rsid w:val="053C132A"/>
    <w:rsid w:val="05446731"/>
    <w:rsid w:val="054A2550"/>
    <w:rsid w:val="055866A0"/>
    <w:rsid w:val="05642E52"/>
    <w:rsid w:val="059D73FC"/>
    <w:rsid w:val="05B3064F"/>
    <w:rsid w:val="05C375FE"/>
    <w:rsid w:val="05D435B9"/>
    <w:rsid w:val="05DA4B29"/>
    <w:rsid w:val="05E36741"/>
    <w:rsid w:val="06402930"/>
    <w:rsid w:val="064C593D"/>
    <w:rsid w:val="0691458A"/>
    <w:rsid w:val="06A61794"/>
    <w:rsid w:val="06D8547A"/>
    <w:rsid w:val="06E569CC"/>
    <w:rsid w:val="070B2FFA"/>
    <w:rsid w:val="0729473D"/>
    <w:rsid w:val="07330296"/>
    <w:rsid w:val="07354C50"/>
    <w:rsid w:val="073C4CC8"/>
    <w:rsid w:val="075603F4"/>
    <w:rsid w:val="0759799D"/>
    <w:rsid w:val="07696CEB"/>
    <w:rsid w:val="07750293"/>
    <w:rsid w:val="077A207D"/>
    <w:rsid w:val="07A51A48"/>
    <w:rsid w:val="07B17300"/>
    <w:rsid w:val="07C4188C"/>
    <w:rsid w:val="07CA2F0F"/>
    <w:rsid w:val="080035F2"/>
    <w:rsid w:val="080041F1"/>
    <w:rsid w:val="08045942"/>
    <w:rsid w:val="083121EF"/>
    <w:rsid w:val="08401EEB"/>
    <w:rsid w:val="085B1D6F"/>
    <w:rsid w:val="0879013D"/>
    <w:rsid w:val="08956C38"/>
    <w:rsid w:val="089665C2"/>
    <w:rsid w:val="089C6935"/>
    <w:rsid w:val="08A30375"/>
    <w:rsid w:val="08A43D5C"/>
    <w:rsid w:val="08A83632"/>
    <w:rsid w:val="08B41A24"/>
    <w:rsid w:val="08D52AD0"/>
    <w:rsid w:val="09182798"/>
    <w:rsid w:val="092A0EA6"/>
    <w:rsid w:val="093D47E6"/>
    <w:rsid w:val="09706D78"/>
    <w:rsid w:val="09751DAC"/>
    <w:rsid w:val="09853944"/>
    <w:rsid w:val="098E5CC9"/>
    <w:rsid w:val="09A51519"/>
    <w:rsid w:val="09A92667"/>
    <w:rsid w:val="09C80B52"/>
    <w:rsid w:val="09CE2A1B"/>
    <w:rsid w:val="09EF5447"/>
    <w:rsid w:val="09EF55BF"/>
    <w:rsid w:val="09FB7B29"/>
    <w:rsid w:val="09FC46B5"/>
    <w:rsid w:val="0A115D4C"/>
    <w:rsid w:val="0A2A7971"/>
    <w:rsid w:val="0A35334F"/>
    <w:rsid w:val="0A67632E"/>
    <w:rsid w:val="0A75446F"/>
    <w:rsid w:val="0A8C6332"/>
    <w:rsid w:val="0AC16E65"/>
    <w:rsid w:val="0AE12972"/>
    <w:rsid w:val="0AE1640E"/>
    <w:rsid w:val="0AE3324A"/>
    <w:rsid w:val="0AEB28F1"/>
    <w:rsid w:val="0B087DC5"/>
    <w:rsid w:val="0B0A6183"/>
    <w:rsid w:val="0B0D0C3A"/>
    <w:rsid w:val="0B28193B"/>
    <w:rsid w:val="0B407E95"/>
    <w:rsid w:val="0B5E170E"/>
    <w:rsid w:val="0B796FFB"/>
    <w:rsid w:val="0BA24760"/>
    <w:rsid w:val="0BAC3E05"/>
    <w:rsid w:val="0BBE2EE2"/>
    <w:rsid w:val="0BE1300C"/>
    <w:rsid w:val="0BE206FF"/>
    <w:rsid w:val="0BF05775"/>
    <w:rsid w:val="0C131DE7"/>
    <w:rsid w:val="0C1E26A7"/>
    <w:rsid w:val="0C302194"/>
    <w:rsid w:val="0C422EC8"/>
    <w:rsid w:val="0C4336D8"/>
    <w:rsid w:val="0C53700B"/>
    <w:rsid w:val="0C6C6EE1"/>
    <w:rsid w:val="0C7A6B9E"/>
    <w:rsid w:val="0C7F7930"/>
    <w:rsid w:val="0C9353EE"/>
    <w:rsid w:val="0C9A4CDF"/>
    <w:rsid w:val="0CDD71F7"/>
    <w:rsid w:val="0CED4294"/>
    <w:rsid w:val="0CF476FC"/>
    <w:rsid w:val="0D0E304A"/>
    <w:rsid w:val="0D166094"/>
    <w:rsid w:val="0D3F6A8E"/>
    <w:rsid w:val="0D562B05"/>
    <w:rsid w:val="0D5B5FA8"/>
    <w:rsid w:val="0D5C4AA5"/>
    <w:rsid w:val="0D6241E0"/>
    <w:rsid w:val="0D68645A"/>
    <w:rsid w:val="0D78261C"/>
    <w:rsid w:val="0D7D2CDA"/>
    <w:rsid w:val="0D8B3A95"/>
    <w:rsid w:val="0DD600B5"/>
    <w:rsid w:val="0DDD3ACA"/>
    <w:rsid w:val="0DE6032D"/>
    <w:rsid w:val="0E1271DE"/>
    <w:rsid w:val="0E1B7FD7"/>
    <w:rsid w:val="0E2F75DE"/>
    <w:rsid w:val="0E3163E7"/>
    <w:rsid w:val="0E3E408D"/>
    <w:rsid w:val="0E6035F6"/>
    <w:rsid w:val="0E7757A7"/>
    <w:rsid w:val="0E7C41BB"/>
    <w:rsid w:val="0E8B0C2E"/>
    <w:rsid w:val="0EB83842"/>
    <w:rsid w:val="0ECD53D5"/>
    <w:rsid w:val="0ECE1FF2"/>
    <w:rsid w:val="0ECE7F03"/>
    <w:rsid w:val="0EE849F5"/>
    <w:rsid w:val="0EEF6D6E"/>
    <w:rsid w:val="0EF910FE"/>
    <w:rsid w:val="0F016750"/>
    <w:rsid w:val="0F100611"/>
    <w:rsid w:val="0F2366CB"/>
    <w:rsid w:val="0F2927B6"/>
    <w:rsid w:val="0F4F30AC"/>
    <w:rsid w:val="0F707076"/>
    <w:rsid w:val="0F8F3A30"/>
    <w:rsid w:val="0FA55B9D"/>
    <w:rsid w:val="0FBA1CE3"/>
    <w:rsid w:val="0FC65D20"/>
    <w:rsid w:val="0FCD436E"/>
    <w:rsid w:val="0FCD7222"/>
    <w:rsid w:val="100D5630"/>
    <w:rsid w:val="103A4848"/>
    <w:rsid w:val="105D5064"/>
    <w:rsid w:val="106A76D9"/>
    <w:rsid w:val="107F2E58"/>
    <w:rsid w:val="10852E1B"/>
    <w:rsid w:val="10905347"/>
    <w:rsid w:val="10A971A3"/>
    <w:rsid w:val="10C60B09"/>
    <w:rsid w:val="10D72000"/>
    <w:rsid w:val="10EE29C2"/>
    <w:rsid w:val="11074A45"/>
    <w:rsid w:val="112B4B22"/>
    <w:rsid w:val="112C1215"/>
    <w:rsid w:val="11577E72"/>
    <w:rsid w:val="11627855"/>
    <w:rsid w:val="11700620"/>
    <w:rsid w:val="1172785C"/>
    <w:rsid w:val="117C54BB"/>
    <w:rsid w:val="11810FA8"/>
    <w:rsid w:val="11830A6F"/>
    <w:rsid w:val="11837349"/>
    <w:rsid w:val="118B7221"/>
    <w:rsid w:val="119866B7"/>
    <w:rsid w:val="11A67E3C"/>
    <w:rsid w:val="11BF2AAD"/>
    <w:rsid w:val="11CA3523"/>
    <w:rsid w:val="11D904B8"/>
    <w:rsid w:val="12140B36"/>
    <w:rsid w:val="121B5B2C"/>
    <w:rsid w:val="122626AA"/>
    <w:rsid w:val="1238070E"/>
    <w:rsid w:val="124C597F"/>
    <w:rsid w:val="12600281"/>
    <w:rsid w:val="127533C2"/>
    <w:rsid w:val="12794E92"/>
    <w:rsid w:val="12823EEC"/>
    <w:rsid w:val="1283189D"/>
    <w:rsid w:val="128F3061"/>
    <w:rsid w:val="12900386"/>
    <w:rsid w:val="12981456"/>
    <w:rsid w:val="129F1BAA"/>
    <w:rsid w:val="12AC23FC"/>
    <w:rsid w:val="12D5229C"/>
    <w:rsid w:val="12E96888"/>
    <w:rsid w:val="13097E72"/>
    <w:rsid w:val="131B385F"/>
    <w:rsid w:val="132A4E9A"/>
    <w:rsid w:val="132F4293"/>
    <w:rsid w:val="133D02A2"/>
    <w:rsid w:val="13821FE6"/>
    <w:rsid w:val="13B70AAB"/>
    <w:rsid w:val="13D247DC"/>
    <w:rsid w:val="13D538B2"/>
    <w:rsid w:val="13FF463E"/>
    <w:rsid w:val="141A627B"/>
    <w:rsid w:val="14391D79"/>
    <w:rsid w:val="143A7E5F"/>
    <w:rsid w:val="14420AB9"/>
    <w:rsid w:val="1466376F"/>
    <w:rsid w:val="1473454E"/>
    <w:rsid w:val="14790C99"/>
    <w:rsid w:val="147E7548"/>
    <w:rsid w:val="149208C7"/>
    <w:rsid w:val="14953BD2"/>
    <w:rsid w:val="1496293B"/>
    <w:rsid w:val="14B47FB0"/>
    <w:rsid w:val="14B64D09"/>
    <w:rsid w:val="14D87C89"/>
    <w:rsid w:val="14EC11E4"/>
    <w:rsid w:val="14FB557A"/>
    <w:rsid w:val="15014821"/>
    <w:rsid w:val="150B3DA5"/>
    <w:rsid w:val="15230E00"/>
    <w:rsid w:val="152432E4"/>
    <w:rsid w:val="155B6E97"/>
    <w:rsid w:val="158804CA"/>
    <w:rsid w:val="15A72150"/>
    <w:rsid w:val="15AB431C"/>
    <w:rsid w:val="15C37947"/>
    <w:rsid w:val="15CE12AA"/>
    <w:rsid w:val="15EE0BD9"/>
    <w:rsid w:val="15FE1E2E"/>
    <w:rsid w:val="16010557"/>
    <w:rsid w:val="160B0E15"/>
    <w:rsid w:val="162551A6"/>
    <w:rsid w:val="162C31FD"/>
    <w:rsid w:val="163F6E10"/>
    <w:rsid w:val="16777B5D"/>
    <w:rsid w:val="168310E2"/>
    <w:rsid w:val="16897580"/>
    <w:rsid w:val="16933BA9"/>
    <w:rsid w:val="16A2128E"/>
    <w:rsid w:val="16CA603F"/>
    <w:rsid w:val="16D33EB3"/>
    <w:rsid w:val="16D801CA"/>
    <w:rsid w:val="16DB247E"/>
    <w:rsid w:val="16F1404F"/>
    <w:rsid w:val="16FC64CC"/>
    <w:rsid w:val="175D44E7"/>
    <w:rsid w:val="1774728B"/>
    <w:rsid w:val="17815457"/>
    <w:rsid w:val="178B2C43"/>
    <w:rsid w:val="178E6DE6"/>
    <w:rsid w:val="178F7340"/>
    <w:rsid w:val="17930E84"/>
    <w:rsid w:val="17A52AFF"/>
    <w:rsid w:val="17AA68D8"/>
    <w:rsid w:val="17C3195F"/>
    <w:rsid w:val="17D460C2"/>
    <w:rsid w:val="17E00018"/>
    <w:rsid w:val="180416C5"/>
    <w:rsid w:val="182E4DAB"/>
    <w:rsid w:val="184C349B"/>
    <w:rsid w:val="18685C2A"/>
    <w:rsid w:val="18C03EFC"/>
    <w:rsid w:val="18DA6D3D"/>
    <w:rsid w:val="18FC098E"/>
    <w:rsid w:val="18FC28B6"/>
    <w:rsid w:val="19047787"/>
    <w:rsid w:val="19094ED0"/>
    <w:rsid w:val="192B6C5D"/>
    <w:rsid w:val="193D581E"/>
    <w:rsid w:val="19433173"/>
    <w:rsid w:val="19647E5B"/>
    <w:rsid w:val="196A2C81"/>
    <w:rsid w:val="19DA46F1"/>
    <w:rsid w:val="19E40B23"/>
    <w:rsid w:val="1A105C2E"/>
    <w:rsid w:val="1A1969EF"/>
    <w:rsid w:val="1A1E30A1"/>
    <w:rsid w:val="1A44064D"/>
    <w:rsid w:val="1A55190C"/>
    <w:rsid w:val="1A6B622F"/>
    <w:rsid w:val="1A843B92"/>
    <w:rsid w:val="1A965395"/>
    <w:rsid w:val="1A981DB0"/>
    <w:rsid w:val="1AA92EA7"/>
    <w:rsid w:val="1AB33C65"/>
    <w:rsid w:val="1ABF4681"/>
    <w:rsid w:val="1AFF0872"/>
    <w:rsid w:val="1B0420E4"/>
    <w:rsid w:val="1B043BA1"/>
    <w:rsid w:val="1B0B6556"/>
    <w:rsid w:val="1B141581"/>
    <w:rsid w:val="1B2129A5"/>
    <w:rsid w:val="1B2E3FA0"/>
    <w:rsid w:val="1B3B15F0"/>
    <w:rsid w:val="1B7D3BB2"/>
    <w:rsid w:val="1BF31EFB"/>
    <w:rsid w:val="1BF831FE"/>
    <w:rsid w:val="1C3D5C46"/>
    <w:rsid w:val="1C4C6F32"/>
    <w:rsid w:val="1C5814CC"/>
    <w:rsid w:val="1C803CAC"/>
    <w:rsid w:val="1C810403"/>
    <w:rsid w:val="1C9A60EC"/>
    <w:rsid w:val="1CB65BA4"/>
    <w:rsid w:val="1CCE3B48"/>
    <w:rsid w:val="1CD0259C"/>
    <w:rsid w:val="1CE45284"/>
    <w:rsid w:val="1D1010BD"/>
    <w:rsid w:val="1D1F4413"/>
    <w:rsid w:val="1D72345E"/>
    <w:rsid w:val="1D953111"/>
    <w:rsid w:val="1DA44544"/>
    <w:rsid w:val="1DBB0F0D"/>
    <w:rsid w:val="1DBE272D"/>
    <w:rsid w:val="1DEE2202"/>
    <w:rsid w:val="1DF3331F"/>
    <w:rsid w:val="1E4D2CDB"/>
    <w:rsid w:val="1E5E47D2"/>
    <w:rsid w:val="1EC15835"/>
    <w:rsid w:val="1EFD02F5"/>
    <w:rsid w:val="1EFF124F"/>
    <w:rsid w:val="1F221709"/>
    <w:rsid w:val="1F3256AA"/>
    <w:rsid w:val="1F3E0893"/>
    <w:rsid w:val="1F6321DF"/>
    <w:rsid w:val="1F672950"/>
    <w:rsid w:val="1F8927B9"/>
    <w:rsid w:val="1F962385"/>
    <w:rsid w:val="1F9E72B3"/>
    <w:rsid w:val="1FA7442D"/>
    <w:rsid w:val="1FB57C7E"/>
    <w:rsid w:val="1FBB350F"/>
    <w:rsid w:val="1FC73564"/>
    <w:rsid w:val="1FCD6557"/>
    <w:rsid w:val="1FD12BF9"/>
    <w:rsid w:val="1FF362B7"/>
    <w:rsid w:val="2011502D"/>
    <w:rsid w:val="203D202F"/>
    <w:rsid w:val="206E624F"/>
    <w:rsid w:val="207F212F"/>
    <w:rsid w:val="209D1784"/>
    <w:rsid w:val="20BC040A"/>
    <w:rsid w:val="20D57D2C"/>
    <w:rsid w:val="20DA052B"/>
    <w:rsid w:val="20EC5803"/>
    <w:rsid w:val="20EF1CF4"/>
    <w:rsid w:val="212E49C3"/>
    <w:rsid w:val="214801C6"/>
    <w:rsid w:val="21796444"/>
    <w:rsid w:val="219462AD"/>
    <w:rsid w:val="219C107D"/>
    <w:rsid w:val="21AF20F0"/>
    <w:rsid w:val="21B15EAF"/>
    <w:rsid w:val="21C02D6D"/>
    <w:rsid w:val="21F60719"/>
    <w:rsid w:val="21FD231D"/>
    <w:rsid w:val="221F5D2D"/>
    <w:rsid w:val="22234483"/>
    <w:rsid w:val="22387C25"/>
    <w:rsid w:val="223A406E"/>
    <w:rsid w:val="22416FA5"/>
    <w:rsid w:val="226F11E1"/>
    <w:rsid w:val="227A2908"/>
    <w:rsid w:val="22890840"/>
    <w:rsid w:val="22920B8D"/>
    <w:rsid w:val="22AD2D70"/>
    <w:rsid w:val="22E573B4"/>
    <w:rsid w:val="22F1158C"/>
    <w:rsid w:val="23062B9C"/>
    <w:rsid w:val="231C7F86"/>
    <w:rsid w:val="233424C7"/>
    <w:rsid w:val="237456CE"/>
    <w:rsid w:val="237823B3"/>
    <w:rsid w:val="237C2602"/>
    <w:rsid w:val="23A45298"/>
    <w:rsid w:val="23AB236C"/>
    <w:rsid w:val="23C52378"/>
    <w:rsid w:val="23E26A49"/>
    <w:rsid w:val="23F84A91"/>
    <w:rsid w:val="240E2D38"/>
    <w:rsid w:val="24295159"/>
    <w:rsid w:val="24467EAC"/>
    <w:rsid w:val="24563DC8"/>
    <w:rsid w:val="24837F3F"/>
    <w:rsid w:val="24920B32"/>
    <w:rsid w:val="24AD6CA4"/>
    <w:rsid w:val="24BD3FA2"/>
    <w:rsid w:val="24C12802"/>
    <w:rsid w:val="24C75E0E"/>
    <w:rsid w:val="24CC69B0"/>
    <w:rsid w:val="24D34D10"/>
    <w:rsid w:val="24E85F75"/>
    <w:rsid w:val="24FF1339"/>
    <w:rsid w:val="253E2A87"/>
    <w:rsid w:val="259A0F01"/>
    <w:rsid w:val="26182BB4"/>
    <w:rsid w:val="2619479D"/>
    <w:rsid w:val="26211BA6"/>
    <w:rsid w:val="262936A3"/>
    <w:rsid w:val="262E008B"/>
    <w:rsid w:val="267B3935"/>
    <w:rsid w:val="26A64D99"/>
    <w:rsid w:val="26A86183"/>
    <w:rsid w:val="26CD049E"/>
    <w:rsid w:val="26F020C3"/>
    <w:rsid w:val="270614CF"/>
    <w:rsid w:val="271412B9"/>
    <w:rsid w:val="271B105E"/>
    <w:rsid w:val="274542CC"/>
    <w:rsid w:val="274B379E"/>
    <w:rsid w:val="276121DE"/>
    <w:rsid w:val="276E3E01"/>
    <w:rsid w:val="27D57AA4"/>
    <w:rsid w:val="27DE72C8"/>
    <w:rsid w:val="27E36EB6"/>
    <w:rsid w:val="27EB05C2"/>
    <w:rsid w:val="27FE5397"/>
    <w:rsid w:val="281E2BF4"/>
    <w:rsid w:val="28246694"/>
    <w:rsid w:val="282C1AD0"/>
    <w:rsid w:val="285326B0"/>
    <w:rsid w:val="28776ABF"/>
    <w:rsid w:val="28A14636"/>
    <w:rsid w:val="28AA3FD9"/>
    <w:rsid w:val="28C87D32"/>
    <w:rsid w:val="28E84DD6"/>
    <w:rsid w:val="292173A2"/>
    <w:rsid w:val="29381B49"/>
    <w:rsid w:val="293C5D8D"/>
    <w:rsid w:val="2962041F"/>
    <w:rsid w:val="2967159A"/>
    <w:rsid w:val="296A1FEB"/>
    <w:rsid w:val="2972168A"/>
    <w:rsid w:val="29852544"/>
    <w:rsid w:val="2990183F"/>
    <w:rsid w:val="29A200D2"/>
    <w:rsid w:val="29C87D71"/>
    <w:rsid w:val="29D37A57"/>
    <w:rsid w:val="29DF2B8E"/>
    <w:rsid w:val="29E44063"/>
    <w:rsid w:val="29E825A9"/>
    <w:rsid w:val="29F850AF"/>
    <w:rsid w:val="2A0542CB"/>
    <w:rsid w:val="2A0B1141"/>
    <w:rsid w:val="2A102D26"/>
    <w:rsid w:val="2A1A7BBB"/>
    <w:rsid w:val="2A236AF5"/>
    <w:rsid w:val="2A5646B3"/>
    <w:rsid w:val="2A6401B8"/>
    <w:rsid w:val="2A924D25"/>
    <w:rsid w:val="2AA375E9"/>
    <w:rsid w:val="2AA77931"/>
    <w:rsid w:val="2AB21C15"/>
    <w:rsid w:val="2AD16F2C"/>
    <w:rsid w:val="2AD74E2E"/>
    <w:rsid w:val="2AE01A8B"/>
    <w:rsid w:val="2AED0919"/>
    <w:rsid w:val="2B1C56EE"/>
    <w:rsid w:val="2B2A31B0"/>
    <w:rsid w:val="2B477BCB"/>
    <w:rsid w:val="2B5705E4"/>
    <w:rsid w:val="2BDB3AC7"/>
    <w:rsid w:val="2BED2EAC"/>
    <w:rsid w:val="2BF454D7"/>
    <w:rsid w:val="2C036977"/>
    <w:rsid w:val="2C1311BD"/>
    <w:rsid w:val="2C2220D9"/>
    <w:rsid w:val="2C292F9F"/>
    <w:rsid w:val="2C305E77"/>
    <w:rsid w:val="2C3B5532"/>
    <w:rsid w:val="2C484FFD"/>
    <w:rsid w:val="2C550700"/>
    <w:rsid w:val="2C740FC6"/>
    <w:rsid w:val="2C7C6A91"/>
    <w:rsid w:val="2C914C11"/>
    <w:rsid w:val="2C9C3459"/>
    <w:rsid w:val="2CC118F2"/>
    <w:rsid w:val="2CE94146"/>
    <w:rsid w:val="2D0F0B22"/>
    <w:rsid w:val="2D101CB0"/>
    <w:rsid w:val="2D3A2680"/>
    <w:rsid w:val="2D3B78F6"/>
    <w:rsid w:val="2D511264"/>
    <w:rsid w:val="2D665B79"/>
    <w:rsid w:val="2D6F0EE7"/>
    <w:rsid w:val="2D907B10"/>
    <w:rsid w:val="2D915768"/>
    <w:rsid w:val="2DD21E3D"/>
    <w:rsid w:val="2E030944"/>
    <w:rsid w:val="2E0A52EF"/>
    <w:rsid w:val="2E167AE2"/>
    <w:rsid w:val="2E18590C"/>
    <w:rsid w:val="2E4F4523"/>
    <w:rsid w:val="2E5541C4"/>
    <w:rsid w:val="2E8D00A8"/>
    <w:rsid w:val="2E8F7FCD"/>
    <w:rsid w:val="2E9D66C0"/>
    <w:rsid w:val="2E9F0C83"/>
    <w:rsid w:val="2EB362F4"/>
    <w:rsid w:val="2ECB5338"/>
    <w:rsid w:val="2EEB70FA"/>
    <w:rsid w:val="2EFA10EB"/>
    <w:rsid w:val="2F0453BE"/>
    <w:rsid w:val="2F0C34E8"/>
    <w:rsid w:val="2F7D1166"/>
    <w:rsid w:val="2FA26F29"/>
    <w:rsid w:val="2FB94D15"/>
    <w:rsid w:val="2FC602AE"/>
    <w:rsid w:val="3013536A"/>
    <w:rsid w:val="303344E6"/>
    <w:rsid w:val="303B4186"/>
    <w:rsid w:val="30497696"/>
    <w:rsid w:val="304E0AA2"/>
    <w:rsid w:val="3059724B"/>
    <w:rsid w:val="30623676"/>
    <w:rsid w:val="30647164"/>
    <w:rsid w:val="306C389E"/>
    <w:rsid w:val="308A0A52"/>
    <w:rsid w:val="30905E09"/>
    <w:rsid w:val="30B336F9"/>
    <w:rsid w:val="30BA0C5E"/>
    <w:rsid w:val="30D56E59"/>
    <w:rsid w:val="30EE1123"/>
    <w:rsid w:val="310E685F"/>
    <w:rsid w:val="31252660"/>
    <w:rsid w:val="312F1A09"/>
    <w:rsid w:val="312F5F78"/>
    <w:rsid w:val="31740730"/>
    <w:rsid w:val="318B6DE3"/>
    <w:rsid w:val="319677F1"/>
    <w:rsid w:val="31B513CD"/>
    <w:rsid w:val="31BD5B05"/>
    <w:rsid w:val="31CB114F"/>
    <w:rsid w:val="31EB721A"/>
    <w:rsid w:val="32190EBE"/>
    <w:rsid w:val="32443121"/>
    <w:rsid w:val="324C6402"/>
    <w:rsid w:val="324E2DFC"/>
    <w:rsid w:val="32B31CDC"/>
    <w:rsid w:val="32BA2E92"/>
    <w:rsid w:val="32DA4C74"/>
    <w:rsid w:val="32E17B0D"/>
    <w:rsid w:val="331D6DFA"/>
    <w:rsid w:val="334D0F63"/>
    <w:rsid w:val="33541F89"/>
    <w:rsid w:val="337253D2"/>
    <w:rsid w:val="33745784"/>
    <w:rsid w:val="33783A98"/>
    <w:rsid w:val="339C3413"/>
    <w:rsid w:val="339F3FBD"/>
    <w:rsid w:val="33B65520"/>
    <w:rsid w:val="33C248DF"/>
    <w:rsid w:val="33DA243D"/>
    <w:rsid w:val="33EC5428"/>
    <w:rsid w:val="33F913CA"/>
    <w:rsid w:val="34195D73"/>
    <w:rsid w:val="343A4EC4"/>
    <w:rsid w:val="344572AC"/>
    <w:rsid w:val="346C2CC6"/>
    <w:rsid w:val="349B53BE"/>
    <w:rsid w:val="34A97935"/>
    <w:rsid w:val="34E3352F"/>
    <w:rsid w:val="35030547"/>
    <w:rsid w:val="35260E8C"/>
    <w:rsid w:val="353A6E26"/>
    <w:rsid w:val="353D7B3F"/>
    <w:rsid w:val="355578BF"/>
    <w:rsid w:val="35593237"/>
    <w:rsid w:val="356965D6"/>
    <w:rsid w:val="357060CB"/>
    <w:rsid w:val="35713B48"/>
    <w:rsid w:val="35811CC9"/>
    <w:rsid w:val="358148FE"/>
    <w:rsid w:val="358B2ED7"/>
    <w:rsid w:val="358B6F41"/>
    <w:rsid w:val="35A67660"/>
    <w:rsid w:val="35E802CE"/>
    <w:rsid w:val="35E94FC5"/>
    <w:rsid w:val="362D0BA5"/>
    <w:rsid w:val="364E711C"/>
    <w:rsid w:val="3667616B"/>
    <w:rsid w:val="366F1F06"/>
    <w:rsid w:val="36781CEB"/>
    <w:rsid w:val="369317A7"/>
    <w:rsid w:val="369427FA"/>
    <w:rsid w:val="36C33F5F"/>
    <w:rsid w:val="36E06DAA"/>
    <w:rsid w:val="371D5369"/>
    <w:rsid w:val="372D1C56"/>
    <w:rsid w:val="373E2724"/>
    <w:rsid w:val="374E0A55"/>
    <w:rsid w:val="375201D1"/>
    <w:rsid w:val="375E2997"/>
    <w:rsid w:val="376331CC"/>
    <w:rsid w:val="376D2D0E"/>
    <w:rsid w:val="37772DA8"/>
    <w:rsid w:val="37CD44D8"/>
    <w:rsid w:val="37DF4AEB"/>
    <w:rsid w:val="37EE725D"/>
    <w:rsid w:val="37F07FC0"/>
    <w:rsid w:val="37FE0D41"/>
    <w:rsid w:val="380A047D"/>
    <w:rsid w:val="38214085"/>
    <w:rsid w:val="38216D4A"/>
    <w:rsid w:val="3825367C"/>
    <w:rsid w:val="38327495"/>
    <w:rsid w:val="385D4AE1"/>
    <w:rsid w:val="389F6113"/>
    <w:rsid w:val="38CD74D6"/>
    <w:rsid w:val="38DE10A4"/>
    <w:rsid w:val="38F1584E"/>
    <w:rsid w:val="38F640E2"/>
    <w:rsid w:val="39015F15"/>
    <w:rsid w:val="39091573"/>
    <w:rsid w:val="393E7586"/>
    <w:rsid w:val="39414F08"/>
    <w:rsid w:val="394C40F2"/>
    <w:rsid w:val="39712762"/>
    <w:rsid w:val="39750869"/>
    <w:rsid w:val="3980181C"/>
    <w:rsid w:val="3991394E"/>
    <w:rsid w:val="39A15321"/>
    <w:rsid w:val="39A17F52"/>
    <w:rsid w:val="39D5410C"/>
    <w:rsid w:val="39F84A46"/>
    <w:rsid w:val="39F93B68"/>
    <w:rsid w:val="3A055283"/>
    <w:rsid w:val="3A235E1C"/>
    <w:rsid w:val="3A2D3BA1"/>
    <w:rsid w:val="3A443853"/>
    <w:rsid w:val="3A4D42E3"/>
    <w:rsid w:val="3A61278D"/>
    <w:rsid w:val="3A6701BF"/>
    <w:rsid w:val="3AC0143A"/>
    <w:rsid w:val="3AC55680"/>
    <w:rsid w:val="3AD63875"/>
    <w:rsid w:val="3AD76D54"/>
    <w:rsid w:val="3AEE244B"/>
    <w:rsid w:val="3AEF5D14"/>
    <w:rsid w:val="3AF62235"/>
    <w:rsid w:val="3AFC74DE"/>
    <w:rsid w:val="3B581673"/>
    <w:rsid w:val="3B613F1C"/>
    <w:rsid w:val="3B8C7887"/>
    <w:rsid w:val="3B9D25DA"/>
    <w:rsid w:val="3BBA5BB1"/>
    <w:rsid w:val="3BC16EB9"/>
    <w:rsid w:val="3C052118"/>
    <w:rsid w:val="3C0E6450"/>
    <w:rsid w:val="3C1E246A"/>
    <w:rsid w:val="3C2354A3"/>
    <w:rsid w:val="3C285DBF"/>
    <w:rsid w:val="3C5D56C6"/>
    <w:rsid w:val="3C656016"/>
    <w:rsid w:val="3C66589F"/>
    <w:rsid w:val="3C6F68C8"/>
    <w:rsid w:val="3C731B12"/>
    <w:rsid w:val="3CBD5EF4"/>
    <w:rsid w:val="3CD8123A"/>
    <w:rsid w:val="3CEE0FB8"/>
    <w:rsid w:val="3CF74BD1"/>
    <w:rsid w:val="3D0D3246"/>
    <w:rsid w:val="3D3B0DFD"/>
    <w:rsid w:val="3D421874"/>
    <w:rsid w:val="3D4E71D1"/>
    <w:rsid w:val="3D5A1E4F"/>
    <w:rsid w:val="3D6407A3"/>
    <w:rsid w:val="3D6F7148"/>
    <w:rsid w:val="3D735C0B"/>
    <w:rsid w:val="3D7C2718"/>
    <w:rsid w:val="3D9E123F"/>
    <w:rsid w:val="3DA06FCD"/>
    <w:rsid w:val="3DAB4624"/>
    <w:rsid w:val="3DC50248"/>
    <w:rsid w:val="3DD23C47"/>
    <w:rsid w:val="3DED1E99"/>
    <w:rsid w:val="3DEE1382"/>
    <w:rsid w:val="3DFC69FE"/>
    <w:rsid w:val="3E156B3C"/>
    <w:rsid w:val="3E391C30"/>
    <w:rsid w:val="3E5325C6"/>
    <w:rsid w:val="3E641D58"/>
    <w:rsid w:val="3E643326"/>
    <w:rsid w:val="3E6B3CE3"/>
    <w:rsid w:val="3E6F68B5"/>
    <w:rsid w:val="3EA03055"/>
    <w:rsid w:val="3EC414D6"/>
    <w:rsid w:val="3ED36102"/>
    <w:rsid w:val="3EEA6372"/>
    <w:rsid w:val="3EEA78E9"/>
    <w:rsid w:val="3EF234BD"/>
    <w:rsid w:val="3F081602"/>
    <w:rsid w:val="3F132553"/>
    <w:rsid w:val="3F141D55"/>
    <w:rsid w:val="3F1837FD"/>
    <w:rsid w:val="3F286B88"/>
    <w:rsid w:val="3F2F6B8F"/>
    <w:rsid w:val="3F400D9C"/>
    <w:rsid w:val="3F447376"/>
    <w:rsid w:val="3F731171"/>
    <w:rsid w:val="3F7433A4"/>
    <w:rsid w:val="3F984D3A"/>
    <w:rsid w:val="3F985BC7"/>
    <w:rsid w:val="3FA20E6D"/>
    <w:rsid w:val="3FBF5550"/>
    <w:rsid w:val="3FDB20BF"/>
    <w:rsid w:val="3FDB56B1"/>
    <w:rsid w:val="3FEC6BB3"/>
    <w:rsid w:val="3FF679BA"/>
    <w:rsid w:val="401A3D96"/>
    <w:rsid w:val="402E533E"/>
    <w:rsid w:val="403A1C8F"/>
    <w:rsid w:val="404A69D2"/>
    <w:rsid w:val="404E58AB"/>
    <w:rsid w:val="4059764F"/>
    <w:rsid w:val="405B3BD3"/>
    <w:rsid w:val="40685A1B"/>
    <w:rsid w:val="40743920"/>
    <w:rsid w:val="407A26C5"/>
    <w:rsid w:val="408B606D"/>
    <w:rsid w:val="40962E54"/>
    <w:rsid w:val="40984578"/>
    <w:rsid w:val="40C606D3"/>
    <w:rsid w:val="40DE4A86"/>
    <w:rsid w:val="40E90FBF"/>
    <w:rsid w:val="410002CA"/>
    <w:rsid w:val="410D2F00"/>
    <w:rsid w:val="411918A4"/>
    <w:rsid w:val="412847F3"/>
    <w:rsid w:val="414C1E03"/>
    <w:rsid w:val="415F7B62"/>
    <w:rsid w:val="41924ABE"/>
    <w:rsid w:val="41943621"/>
    <w:rsid w:val="41DD6B3E"/>
    <w:rsid w:val="41F12A49"/>
    <w:rsid w:val="41F366B9"/>
    <w:rsid w:val="42137020"/>
    <w:rsid w:val="42186167"/>
    <w:rsid w:val="422A6A4F"/>
    <w:rsid w:val="425471A3"/>
    <w:rsid w:val="4278653C"/>
    <w:rsid w:val="429552B0"/>
    <w:rsid w:val="42AF4976"/>
    <w:rsid w:val="42AF6B10"/>
    <w:rsid w:val="42B00226"/>
    <w:rsid w:val="42B23D5F"/>
    <w:rsid w:val="42BB2F2F"/>
    <w:rsid w:val="42DC2CF4"/>
    <w:rsid w:val="43481A6D"/>
    <w:rsid w:val="434D00C5"/>
    <w:rsid w:val="43532B7C"/>
    <w:rsid w:val="43572CDE"/>
    <w:rsid w:val="43781BA2"/>
    <w:rsid w:val="4378532B"/>
    <w:rsid w:val="43A23DD3"/>
    <w:rsid w:val="43AC2391"/>
    <w:rsid w:val="43B54E39"/>
    <w:rsid w:val="43B71670"/>
    <w:rsid w:val="43C02F8C"/>
    <w:rsid w:val="43D744FC"/>
    <w:rsid w:val="44050445"/>
    <w:rsid w:val="44191F66"/>
    <w:rsid w:val="44195755"/>
    <w:rsid w:val="441E520F"/>
    <w:rsid w:val="44342571"/>
    <w:rsid w:val="443566BA"/>
    <w:rsid w:val="443C5353"/>
    <w:rsid w:val="44690546"/>
    <w:rsid w:val="44690D9E"/>
    <w:rsid w:val="446D41CA"/>
    <w:rsid w:val="447C2876"/>
    <w:rsid w:val="449B18C5"/>
    <w:rsid w:val="44A32685"/>
    <w:rsid w:val="44C666AE"/>
    <w:rsid w:val="44CC69C0"/>
    <w:rsid w:val="44D308AE"/>
    <w:rsid w:val="44FE61B1"/>
    <w:rsid w:val="450477EB"/>
    <w:rsid w:val="450B7EB2"/>
    <w:rsid w:val="45541235"/>
    <w:rsid w:val="45636D65"/>
    <w:rsid w:val="459B5914"/>
    <w:rsid w:val="45B210A9"/>
    <w:rsid w:val="45BD67A9"/>
    <w:rsid w:val="45E3103E"/>
    <w:rsid w:val="45F04F2F"/>
    <w:rsid w:val="46080375"/>
    <w:rsid w:val="460D2FD0"/>
    <w:rsid w:val="46470C62"/>
    <w:rsid w:val="46544217"/>
    <w:rsid w:val="467D67CA"/>
    <w:rsid w:val="46B760A5"/>
    <w:rsid w:val="46C5346F"/>
    <w:rsid w:val="46C942FA"/>
    <w:rsid w:val="46D1234C"/>
    <w:rsid w:val="46E371AF"/>
    <w:rsid w:val="46E93AC7"/>
    <w:rsid w:val="46EF27F8"/>
    <w:rsid w:val="470D0EF5"/>
    <w:rsid w:val="4725419C"/>
    <w:rsid w:val="473543E3"/>
    <w:rsid w:val="474763B5"/>
    <w:rsid w:val="47675D04"/>
    <w:rsid w:val="477554F4"/>
    <w:rsid w:val="47760527"/>
    <w:rsid w:val="47825D4E"/>
    <w:rsid w:val="47A16858"/>
    <w:rsid w:val="47F21272"/>
    <w:rsid w:val="48211A81"/>
    <w:rsid w:val="483E2AB2"/>
    <w:rsid w:val="48453C6F"/>
    <w:rsid w:val="48981669"/>
    <w:rsid w:val="48E31ADD"/>
    <w:rsid w:val="48E95DE5"/>
    <w:rsid w:val="48ED1B6B"/>
    <w:rsid w:val="48F036D7"/>
    <w:rsid w:val="48F84AFA"/>
    <w:rsid w:val="48FE79D6"/>
    <w:rsid w:val="4906709E"/>
    <w:rsid w:val="49355F8E"/>
    <w:rsid w:val="495C3472"/>
    <w:rsid w:val="496B130B"/>
    <w:rsid w:val="49910412"/>
    <w:rsid w:val="499E20DB"/>
    <w:rsid w:val="49AC40F8"/>
    <w:rsid w:val="49B67901"/>
    <w:rsid w:val="4A033EC1"/>
    <w:rsid w:val="4A036D60"/>
    <w:rsid w:val="4A0D543E"/>
    <w:rsid w:val="4A306AFC"/>
    <w:rsid w:val="4A320DEE"/>
    <w:rsid w:val="4A3B27B7"/>
    <w:rsid w:val="4A483D9E"/>
    <w:rsid w:val="4A62155C"/>
    <w:rsid w:val="4A6C763C"/>
    <w:rsid w:val="4A6D251C"/>
    <w:rsid w:val="4A835D3B"/>
    <w:rsid w:val="4A956C91"/>
    <w:rsid w:val="4AA248B3"/>
    <w:rsid w:val="4AC05DF2"/>
    <w:rsid w:val="4ACA5FF3"/>
    <w:rsid w:val="4ACC0972"/>
    <w:rsid w:val="4AFA1D0E"/>
    <w:rsid w:val="4B03634E"/>
    <w:rsid w:val="4B1E7434"/>
    <w:rsid w:val="4B2A6FA0"/>
    <w:rsid w:val="4B3B5318"/>
    <w:rsid w:val="4B4812DE"/>
    <w:rsid w:val="4B481704"/>
    <w:rsid w:val="4B4E65EF"/>
    <w:rsid w:val="4B6C2D06"/>
    <w:rsid w:val="4B7F1EC5"/>
    <w:rsid w:val="4BAE435F"/>
    <w:rsid w:val="4BB065D8"/>
    <w:rsid w:val="4BB5032F"/>
    <w:rsid w:val="4BC02131"/>
    <w:rsid w:val="4BC277BB"/>
    <w:rsid w:val="4BDA2023"/>
    <w:rsid w:val="4BE742D7"/>
    <w:rsid w:val="4BFB5C0C"/>
    <w:rsid w:val="4C0A191A"/>
    <w:rsid w:val="4C0C3769"/>
    <w:rsid w:val="4C133888"/>
    <w:rsid w:val="4C164BF1"/>
    <w:rsid w:val="4C1E4FF9"/>
    <w:rsid w:val="4C202DDA"/>
    <w:rsid w:val="4C43011D"/>
    <w:rsid w:val="4C5E4CBE"/>
    <w:rsid w:val="4C6F13E3"/>
    <w:rsid w:val="4C9D09AF"/>
    <w:rsid w:val="4CA41912"/>
    <w:rsid w:val="4CA74B15"/>
    <w:rsid w:val="4CAC2BD1"/>
    <w:rsid w:val="4CB0324A"/>
    <w:rsid w:val="4CB5788A"/>
    <w:rsid w:val="4CC90623"/>
    <w:rsid w:val="4CD5422C"/>
    <w:rsid w:val="4CFA2D8A"/>
    <w:rsid w:val="4D175295"/>
    <w:rsid w:val="4D2E34F0"/>
    <w:rsid w:val="4D834637"/>
    <w:rsid w:val="4D9258D3"/>
    <w:rsid w:val="4D9E78F3"/>
    <w:rsid w:val="4DB541A5"/>
    <w:rsid w:val="4DC7325B"/>
    <w:rsid w:val="4DCC33C3"/>
    <w:rsid w:val="4DEF0839"/>
    <w:rsid w:val="4E014A19"/>
    <w:rsid w:val="4E030F09"/>
    <w:rsid w:val="4E4D7EDA"/>
    <w:rsid w:val="4E7D7556"/>
    <w:rsid w:val="4E8F31A6"/>
    <w:rsid w:val="4E935DF9"/>
    <w:rsid w:val="4E9716EE"/>
    <w:rsid w:val="4EAB50A3"/>
    <w:rsid w:val="4EAD7AD0"/>
    <w:rsid w:val="4ECF139E"/>
    <w:rsid w:val="4F4D7E2B"/>
    <w:rsid w:val="4F556356"/>
    <w:rsid w:val="4F556C9C"/>
    <w:rsid w:val="4F7C70D8"/>
    <w:rsid w:val="4F954E97"/>
    <w:rsid w:val="4F9758E0"/>
    <w:rsid w:val="4F986EB3"/>
    <w:rsid w:val="4F9D0E28"/>
    <w:rsid w:val="4FBC5AE6"/>
    <w:rsid w:val="4FDB06D2"/>
    <w:rsid w:val="4FDC68BF"/>
    <w:rsid w:val="500C21E8"/>
    <w:rsid w:val="50291D6F"/>
    <w:rsid w:val="503511C4"/>
    <w:rsid w:val="503924CC"/>
    <w:rsid w:val="504577B9"/>
    <w:rsid w:val="50475EFE"/>
    <w:rsid w:val="50C605E0"/>
    <w:rsid w:val="50E27F05"/>
    <w:rsid w:val="50FD1776"/>
    <w:rsid w:val="50FD60E3"/>
    <w:rsid w:val="513F5914"/>
    <w:rsid w:val="51694182"/>
    <w:rsid w:val="517D196B"/>
    <w:rsid w:val="51A62DBB"/>
    <w:rsid w:val="51AB40A0"/>
    <w:rsid w:val="51BD002A"/>
    <w:rsid w:val="51CE6B08"/>
    <w:rsid w:val="51F31E36"/>
    <w:rsid w:val="52181AAA"/>
    <w:rsid w:val="52366371"/>
    <w:rsid w:val="525B7B04"/>
    <w:rsid w:val="527C7EE5"/>
    <w:rsid w:val="52C31AC9"/>
    <w:rsid w:val="52F930EA"/>
    <w:rsid w:val="530A6510"/>
    <w:rsid w:val="53287E63"/>
    <w:rsid w:val="5343652A"/>
    <w:rsid w:val="53613055"/>
    <w:rsid w:val="53724AC2"/>
    <w:rsid w:val="53885A4F"/>
    <w:rsid w:val="538F366D"/>
    <w:rsid w:val="53C54F4C"/>
    <w:rsid w:val="53F568F0"/>
    <w:rsid w:val="54666EAA"/>
    <w:rsid w:val="547215A0"/>
    <w:rsid w:val="54782083"/>
    <w:rsid w:val="5483185A"/>
    <w:rsid w:val="549A28A4"/>
    <w:rsid w:val="54AD0B43"/>
    <w:rsid w:val="54BD256A"/>
    <w:rsid w:val="54D36316"/>
    <w:rsid w:val="54E62BEF"/>
    <w:rsid w:val="54FB4EBA"/>
    <w:rsid w:val="54FC2BB4"/>
    <w:rsid w:val="55195EBF"/>
    <w:rsid w:val="55347222"/>
    <w:rsid w:val="554A0549"/>
    <w:rsid w:val="55767DEA"/>
    <w:rsid w:val="558455B7"/>
    <w:rsid w:val="559E0172"/>
    <w:rsid w:val="55C8216F"/>
    <w:rsid w:val="55CD443A"/>
    <w:rsid w:val="55CF7595"/>
    <w:rsid w:val="55E2493B"/>
    <w:rsid w:val="55FC571F"/>
    <w:rsid w:val="56032C80"/>
    <w:rsid w:val="56064754"/>
    <w:rsid w:val="56082DCF"/>
    <w:rsid w:val="560B1CAC"/>
    <w:rsid w:val="5610356C"/>
    <w:rsid w:val="561623FF"/>
    <w:rsid w:val="56215531"/>
    <w:rsid w:val="56317BF9"/>
    <w:rsid w:val="566A1D20"/>
    <w:rsid w:val="56707D61"/>
    <w:rsid w:val="5679305D"/>
    <w:rsid w:val="568A3B11"/>
    <w:rsid w:val="56933A4F"/>
    <w:rsid w:val="56995020"/>
    <w:rsid w:val="56AB4FC1"/>
    <w:rsid w:val="56B66703"/>
    <w:rsid w:val="56BB4448"/>
    <w:rsid w:val="56EE7A94"/>
    <w:rsid w:val="57091A1E"/>
    <w:rsid w:val="571263CA"/>
    <w:rsid w:val="572823EA"/>
    <w:rsid w:val="575B753F"/>
    <w:rsid w:val="575C5264"/>
    <w:rsid w:val="57621A73"/>
    <w:rsid w:val="5775378B"/>
    <w:rsid w:val="57882201"/>
    <w:rsid w:val="578C792F"/>
    <w:rsid w:val="57EE412E"/>
    <w:rsid w:val="58005035"/>
    <w:rsid w:val="583F2720"/>
    <w:rsid w:val="584F26A2"/>
    <w:rsid w:val="58587CB6"/>
    <w:rsid w:val="585A0DF9"/>
    <w:rsid w:val="58650145"/>
    <w:rsid w:val="586D6B70"/>
    <w:rsid w:val="587B0D17"/>
    <w:rsid w:val="587C41AF"/>
    <w:rsid w:val="58913A62"/>
    <w:rsid w:val="58BF3851"/>
    <w:rsid w:val="58EF291E"/>
    <w:rsid w:val="58F83057"/>
    <w:rsid w:val="58FE798A"/>
    <w:rsid w:val="59030639"/>
    <w:rsid w:val="59221E80"/>
    <w:rsid w:val="5925557E"/>
    <w:rsid w:val="5934471E"/>
    <w:rsid w:val="59363754"/>
    <w:rsid w:val="5954098A"/>
    <w:rsid w:val="596B0967"/>
    <w:rsid w:val="597628E7"/>
    <w:rsid w:val="59D56C49"/>
    <w:rsid w:val="59E123FA"/>
    <w:rsid w:val="59E50929"/>
    <w:rsid w:val="59F12079"/>
    <w:rsid w:val="59F1226E"/>
    <w:rsid w:val="59F21FE1"/>
    <w:rsid w:val="59FC6F0D"/>
    <w:rsid w:val="59FE7530"/>
    <w:rsid w:val="5A0E24BE"/>
    <w:rsid w:val="5A252C10"/>
    <w:rsid w:val="5A2A7FDE"/>
    <w:rsid w:val="5A391C5D"/>
    <w:rsid w:val="5A437E29"/>
    <w:rsid w:val="5A440992"/>
    <w:rsid w:val="5A446486"/>
    <w:rsid w:val="5A642F19"/>
    <w:rsid w:val="5A78467D"/>
    <w:rsid w:val="5A7C70FC"/>
    <w:rsid w:val="5A9F6C1E"/>
    <w:rsid w:val="5AAC3332"/>
    <w:rsid w:val="5AC05287"/>
    <w:rsid w:val="5ACA58E8"/>
    <w:rsid w:val="5AF77B76"/>
    <w:rsid w:val="5B194C6F"/>
    <w:rsid w:val="5B251D54"/>
    <w:rsid w:val="5B35423C"/>
    <w:rsid w:val="5B39261A"/>
    <w:rsid w:val="5B7A2B7D"/>
    <w:rsid w:val="5B7E4CCE"/>
    <w:rsid w:val="5B7E6A7C"/>
    <w:rsid w:val="5B831818"/>
    <w:rsid w:val="5BAD5283"/>
    <w:rsid w:val="5BC07095"/>
    <w:rsid w:val="5BCD60C8"/>
    <w:rsid w:val="5BDB1510"/>
    <w:rsid w:val="5BDC5206"/>
    <w:rsid w:val="5BE62D7B"/>
    <w:rsid w:val="5C1B305D"/>
    <w:rsid w:val="5C275CD6"/>
    <w:rsid w:val="5C3D7013"/>
    <w:rsid w:val="5C524E39"/>
    <w:rsid w:val="5C734107"/>
    <w:rsid w:val="5C8949B6"/>
    <w:rsid w:val="5C990FD1"/>
    <w:rsid w:val="5CA22B42"/>
    <w:rsid w:val="5CB747FD"/>
    <w:rsid w:val="5CBC04AC"/>
    <w:rsid w:val="5CC44962"/>
    <w:rsid w:val="5CC45CFC"/>
    <w:rsid w:val="5CCF1CD7"/>
    <w:rsid w:val="5CD94759"/>
    <w:rsid w:val="5CE00B96"/>
    <w:rsid w:val="5D02531F"/>
    <w:rsid w:val="5D0F408E"/>
    <w:rsid w:val="5D371229"/>
    <w:rsid w:val="5D437F7D"/>
    <w:rsid w:val="5D4558E2"/>
    <w:rsid w:val="5D465543"/>
    <w:rsid w:val="5D717CED"/>
    <w:rsid w:val="5D7551DA"/>
    <w:rsid w:val="5D771B9C"/>
    <w:rsid w:val="5DA27AC6"/>
    <w:rsid w:val="5DA416DC"/>
    <w:rsid w:val="5DC82B08"/>
    <w:rsid w:val="5DCC1B67"/>
    <w:rsid w:val="5DDA7CB5"/>
    <w:rsid w:val="5DE53C9A"/>
    <w:rsid w:val="5E2E6B91"/>
    <w:rsid w:val="5E4D3F49"/>
    <w:rsid w:val="5E515E4C"/>
    <w:rsid w:val="5E587AE5"/>
    <w:rsid w:val="5E6B706D"/>
    <w:rsid w:val="5E745F14"/>
    <w:rsid w:val="5EAC34EC"/>
    <w:rsid w:val="5ECA1E12"/>
    <w:rsid w:val="5ED623C7"/>
    <w:rsid w:val="5EDF68FB"/>
    <w:rsid w:val="5EEE0CE8"/>
    <w:rsid w:val="5EF90BFD"/>
    <w:rsid w:val="5F01254B"/>
    <w:rsid w:val="5F065AE7"/>
    <w:rsid w:val="5F082540"/>
    <w:rsid w:val="5F131839"/>
    <w:rsid w:val="5F1A6ABC"/>
    <w:rsid w:val="5F381AF6"/>
    <w:rsid w:val="5F4A2E7B"/>
    <w:rsid w:val="5F5D49F3"/>
    <w:rsid w:val="5F7F34FA"/>
    <w:rsid w:val="5F9E573F"/>
    <w:rsid w:val="5FBF5391"/>
    <w:rsid w:val="600A645B"/>
    <w:rsid w:val="60133021"/>
    <w:rsid w:val="60341DFF"/>
    <w:rsid w:val="603752C7"/>
    <w:rsid w:val="60437128"/>
    <w:rsid w:val="604947FD"/>
    <w:rsid w:val="605B5BE3"/>
    <w:rsid w:val="60805044"/>
    <w:rsid w:val="608259E6"/>
    <w:rsid w:val="608B44FC"/>
    <w:rsid w:val="609F0452"/>
    <w:rsid w:val="60A21733"/>
    <w:rsid w:val="60A30D33"/>
    <w:rsid w:val="60C33A12"/>
    <w:rsid w:val="60E0462C"/>
    <w:rsid w:val="60F32F76"/>
    <w:rsid w:val="61020211"/>
    <w:rsid w:val="613F6527"/>
    <w:rsid w:val="6142099D"/>
    <w:rsid w:val="614F3293"/>
    <w:rsid w:val="6151685B"/>
    <w:rsid w:val="615C37AF"/>
    <w:rsid w:val="619711A1"/>
    <w:rsid w:val="619F1574"/>
    <w:rsid w:val="61A0267B"/>
    <w:rsid w:val="61AB42D4"/>
    <w:rsid w:val="61AD0327"/>
    <w:rsid w:val="61E1557E"/>
    <w:rsid w:val="61ED33DE"/>
    <w:rsid w:val="61EF5231"/>
    <w:rsid w:val="62151DA9"/>
    <w:rsid w:val="621F477D"/>
    <w:rsid w:val="62200D3F"/>
    <w:rsid w:val="622B2E49"/>
    <w:rsid w:val="62396032"/>
    <w:rsid w:val="624D0BEA"/>
    <w:rsid w:val="62587DBE"/>
    <w:rsid w:val="62634C1E"/>
    <w:rsid w:val="626356E7"/>
    <w:rsid w:val="627C7179"/>
    <w:rsid w:val="62913539"/>
    <w:rsid w:val="629341F9"/>
    <w:rsid w:val="62981D59"/>
    <w:rsid w:val="62B35552"/>
    <w:rsid w:val="62BA2AB4"/>
    <w:rsid w:val="62C21566"/>
    <w:rsid w:val="62C667E9"/>
    <w:rsid w:val="62F52C9A"/>
    <w:rsid w:val="630F2E87"/>
    <w:rsid w:val="63317AB6"/>
    <w:rsid w:val="63381C06"/>
    <w:rsid w:val="63534FDD"/>
    <w:rsid w:val="636969AD"/>
    <w:rsid w:val="63B57DFF"/>
    <w:rsid w:val="63CC0A04"/>
    <w:rsid w:val="63D135A0"/>
    <w:rsid w:val="63D76D90"/>
    <w:rsid w:val="63DA6809"/>
    <w:rsid w:val="63DF5AAE"/>
    <w:rsid w:val="64095425"/>
    <w:rsid w:val="643D75EB"/>
    <w:rsid w:val="646C203C"/>
    <w:rsid w:val="649A643A"/>
    <w:rsid w:val="649B44B4"/>
    <w:rsid w:val="64BC4B5D"/>
    <w:rsid w:val="64CE2166"/>
    <w:rsid w:val="64F05B0F"/>
    <w:rsid w:val="6509242E"/>
    <w:rsid w:val="651C20E8"/>
    <w:rsid w:val="6548223A"/>
    <w:rsid w:val="65501D46"/>
    <w:rsid w:val="65513434"/>
    <w:rsid w:val="65660CAD"/>
    <w:rsid w:val="65674A25"/>
    <w:rsid w:val="658B0713"/>
    <w:rsid w:val="659D2EC1"/>
    <w:rsid w:val="65A92FF8"/>
    <w:rsid w:val="65AF4F17"/>
    <w:rsid w:val="65C3746C"/>
    <w:rsid w:val="65FE7137"/>
    <w:rsid w:val="662239A1"/>
    <w:rsid w:val="66422A1D"/>
    <w:rsid w:val="664C086C"/>
    <w:rsid w:val="6658335D"/>
    <w:rsid w:val="66671FBB"/>
    <w:rsid w:val="66971F64"/>
    <w:rsid w:val="669D2338"/>
    <w:rsid w:val="66B10223"/>
    <w:rsid w:val="66BD2D5A"/>
    <w:rsid w:val="66C67A33"/>
    <w:rsid w:val="66D93700"/>
    <w:rsid w:val="671A7A05"/>
    <w:rsid w:val="673D7EF7"/>
    <w:rsid w:val="673F4B0E"/>
    <w:rsid w:val="674C4A78"/>
    <w:rsid w:val="675B3281"/>
    <w:rsid w:val="675D7E8D"/>
    <w:rsid w:val="67711DA8"/>
    <w:rsid w:val="678615C1"/>
    <w:rsid w:val="679D43EB"/>
    <w:rsid w:val="67A352F5"/>
    <w:rsid w:val="67C8272F"/>
    <w:rsid w:val="680F5324"/>
    <w:rsid w:val="682B0DE6"/>
    <w:rsid w:val="685A2216"/>
    <w:rsid w:val="68744D0F"/>
    <w:rsid w:val="68777B29"/>
    <w:rsid w:val="68AA5C9C"/>
    <w:rsid w:val="68BD4B0D"/>
    <w:rsid w:val="68C51557"/>
    <w:rsid w:val="68CF1B63"/>
    <w:rsid w:val="68D91796"/>
    <w:rsid w:val="68DC3034"/>
    <w:rsid w:val="68E06F8C"/>
    <w:rsid w:val="690B5DC1"/>
    <w:rsid w:val="691E7116"/>
    <w:rsid w:val="69375FE7"/>
    <w:rsid w:val="69782119"/>
    <w:rsid w:val="697870BB"/>
    <w:rsid w:val="697E527C"/>
    <w:rsid w:val="69933325"/>
    <w:rsid w:val="69A930A7"/>
    <w:rsid w:val="69C321B3"/>
    <w:rsid w:val="69C96F15"/>
    <w:rsid w:val="69E955E5"/>
    <w:rsid w:val="6A0171F6"/>
    <w:rsid w:val="6A0F5488"/>
    <w:rsid w:val="6A2A0E08"/>
    <w:rsid w:val="6A303DAB"/>
    <w:rsid w:val="6A462E5B"/>
    <w:rsid w:val="6A592426"/>
    <w:rsid w:val="6A6F0CC4"/>
    <w:rsid w:val="6A77204B"/>
    <w:rsid w:val="6A803925"/>
    <w:rsid w:val="6AA87788"/>
    <w:rsid w:val="6ADD0DFB"/>
    <w:rsid w:val="6AFC057B"/>
    <w:rsid w:val="6B0358DC"/>
    <w:rsid w:val="6B0719E4"/>
    <w:rsid w:val="6B1547A3"/>
    <w:rsid w:val="6B1C3BBC"/>
    <w:rsid w:val="6B402EA8"/>
    <w:rsid w:val="6B41345E"/>
    <w:rsid w:val="6B4B4C0C"/>
    <w:rsid w:val="6B534B93"/>
    <w:rsid w:val="6B5549E0"/>
    <w:rsid w:val="6B8071BE"/>
    <w:rsid w:val="6B822F1A"/>
    <w:rsid w:val="6B96744F"/>
    <w:rsid w:val="6B9F338E"/>
    <w:rsid w:val="6BA46C38"/>
    <w:rsid w:val="6BB81B36"/>
    <w:rsid w:val="6BB93EF3"/>
    <w:rsid w:val="6BC768C9"/>
    <w:rsid w:val="6BDA1C3F"/>
    <w:rsid w:val="6BF32607"/>
    <w:rsid w:val="6C016BE7"/>
    <w:rsid w:val="6C041438"/>
    <w:rsid w:val="6C0C0925"/>
    <w:rsid w:val="6C14663E"/>
    <w:rsid w:val="6C154E66"/>
    <w:rsid w:val="6C1B20C5"/>
    <w:rsid w:val="6C292A66"/>
    <w:rsid w:val="6C40062F"/>
    <w:rsid w:val="6C4168EF"/>
    <w:rsid w:val="6C43453D"/>
    <w:rsid w:val="6C601602"/>
    <w:rsid w:val="6C910ABB"/>
    <w:rsid w:val="6C9875C8"/>
    <w:rsid w:val="6CB16E2D"/>
    <w:rsid w:val="6CB1750D"/>
    <w:rsid w:val="6CC473D1"/>
    <w:rsid w:val="6CEC09CA"/>
    <w:rsid w:val="6D2F4CC8"/>
    <w:rsid w:val="6D3B2D6A"/>
    <w:rsid w:val="6D4251BB"/>
    <w:rsid w:val="6D6104D7"/>
    <w:rsid w:val="6D617FAC"/>
    <w:rsid w:val="6D702911"/>
    <w:rsid w:val="6D926ED3"/>
    <w:rsid w:val="6DA74C9F"/>
    <w:rsid w:val="6DA864BD"/>
    <w:rsid w:val="6DAF65E6"/>
    <w:rsid w:val="6DB225B5"/>
    <w:rsid w:val="6DE108F2"/>
    <w:rsid w:val="6DEF4749"/>
    <w:rsid w:val="6DF43A4F"/>
    <w:rsid w:val="6E260A53"/>
    <w:rsid w:val="6E2A1088"/>
    <w:rsid w:val="6E4E761C"/>
    <w:rsid w:val="6E5037B6"/>
    <w:rsid w:val="6E5943CB"/>
    <w:rsid w:val="6E987EC8"/>
    <w:rsid w:val="6EA407C5"/>
    <w:rsid w:val="6EA7520D"/>
    <w:rsid w:val="6EBB049C"/>
    <w:rsid w:val="6EC10474"/>
    <w:rsid w:val="6EDC63C0"/>
    <w:rsid w:val="6F014BFC"/>
    <w:rsid w:val="6F1B3D08"/>
    <w:rsid w:val="6F1E33D4"/>
    <w:rsid w:val="6F242613"/>
    <w:rsid w:val="6F277A64"/>
    <w:rsid w:val="6F525F5C"/>
    <w:rsid w:val="6F9B1553"/>
    <w:rsid w:val="6FA05350"/>
    <w:rsid w:val="6FC071B5"/>
    <w:rsid w:val="6FC96D98"/>
    <w:rsid w:val="6FDC3462"/>
    <w:rsid w:val="6FFF7E64"/>
    <w:rsid w:val="702329FE"/>
    <w:rsid w:val="702A26D0"/>
    <w:rsid w:val="703E214D"/>
    <w:rsid w:val="70406A76"/>
    <w:rsid w:val="705B6F34"/>
    <w:rsid w:val="70782BC3"/>
    <w:rsid w:val="707A587A"/>
    <w:rsid w:val="707B1B22"/>
    <w:rsid w:val="707D1B94"/>
    <w:rsid w:val="70A34AFE"/>
    <w:rsid w:val="70AC26D7"/>
    <w:rsid w:val="70C44AD9"/>
    <w:rsid w:val="70DE6ACC"/>
    <w:rsid w:val="70E9106C"/>
    <w:rsid w:val="71137642"/>
    <w:rsid w:val="713174C8"/>
    <w:rsid w:val="7147066C"/>
    <w:rsid w:val="71613784"/>
    <w:rsid w:val="716D6F11"/>
    <w:rsid w:val="7175432A"/>
    <w:rsid w:val="718F66C6"/>
    <w:rsid w:val="71A957A6"/>
    <w:rsid w:val="71B46B19"/>
    <w:rsid w:val="71BD7EAD"/>
    <w:rsid w:val="71DF7D87"/>
    <w:rsid w:val="71E046BC"/>
    <w:rsid w:val="71F55EA0"/>
    <w:rsid w:val="72203B87"/>
    <w:rsid w:val="722717C4"/>
    <w:rsid w:val="722D399E"/>
    <w:rsid w:val="72364AB5"/>
    <w:rsid w:val="723D574B"/>
    <w:rsid w:val="72647073"/>
    <w:rsid w:val="726E0878"/>
    <w:rsid w:val="727A628E"/>
    <w:rsid w:val="72921137"/>
    <w:rsid w:val="72AF2871"/>
    <w:rsid w:val="72D059B7"/>
    <w:rsid w:val="72F24B4D"/>
    <w:rsid w:val="7304346B"/>
    <w:rsid w:val="732A71D7"/>
    <w:rsid w:val="733459F1"/>
    <w:rsid w:val="733878D7"/>
    <w:rsid w:val="7353264D"/>
    <w:rsid w:val="73613DC2"/>
    <w:rsid w:val="738F28CB"/>
    <w:rsid w:val="73A90DC4"/>
    <w:rsid w:val="73E223A7"/>
    <w:rsid w:val="73EB4E87"/>
    <w:rsid w:val="740A2F15"/>
    <w:rsid w:val="74290DF4"/>
    <w:rsid w:val="74481E01"/>
    <w:rsid w:val="744C7EB7"/>
    <w:rsid w:val="7456013E"/>
    <w:rsid w:val="746D5E72"/>
    <w:rsid w:val="746F7BAC"/>
    <w:rsid w:val="74A84019"/>
    <w:rsid w:val="74AD1033"/>
    <w:rsid w:val="74B44E65"/>
    <w:rsid w:val="74BD7DB7"/>
    <w:rsid w:val="74DE3F24"/>
    <w:rsid w:val="74EB4A47"/>
    <w:rsid w:val="75094EB9"/>
    <w:rsid w:val="75147D47"/>
    <w:rsid w:val="752B6EC9"/>
    <w:rsid w:val="754D74A9"/>
    <w:rsid w:val="754E2B50"/>
    <w:rsid w:val="75584642"/>
    <w:rsid w:val="75946C04"/>
    <w:rsid w:val="7598601E"/>
    <w:rsid w:val="759C0DCE"/>
    <w:rsid w:val="75B17B5C"/>
    <w:rsid w:val="75B8711E"/>
    <w:rsid w:val="75C90A12"/>
    <w:rsid w:val="75E2190C"/>
    <w:rsid w:val="7608332B"/>
    <w:rsid w:val="7621395A"/>
    <w:rsid w:val="763C19C2"/>
    <w:rsid w:val="763C5112"/>
    <w:rsid w:val="765355B9"/>
    <w:rsid w:val="765741B6"/>
    <w:rsid w:val="76733229"/>
    <w:rsid w:val="768371E5"/>
    <w:rsid w:val="768611A8"/>
    <w:rsid w:val="769F148B"/>
    <w:rsid w:val="769F58B8"/>
    <w:rsid w:val="76BE3CB7"/>
    <w:rsid w:val="76DB438D"/>
    <w:rsid w:val="76E11F70"/>
    <w:rsid w:val="77005477"/>
    <w:rsid w:val="77163BB5"/>
    <w:rsid w:val="7719665F"/>
    <w:rsid w:val="771C20D9"/>
    <w:rsid w:val="772E0EFE"/>
    <w:rsid w:val="774B1AB0"/>
    <w:rsid w:val="774F55FE"/>
    <w:rsid w:val="77881064"/>
    <w:rsid w:val="778B7C87"/>
    <w:rsid w:val="77E33C32"/>
    <w:rsid w:val="77F17704"/>
    <w:rsid w:val="781C1711"/>
    <w:rsid w:val="78304942"/>
    <w:rsid w:val="783075B9"/>
    <w:rsid w:val="786B1530"/>
    <w:rsid w:val="786B4B02"/>
    <w:rsid w:val="788D2180"/>
    <w:rsid w:val="78DB2F4C"/>
    <w:rsid w:val="78F25748"/>
    <w:rsid w:val="78F849C2"/>
    <w:rsid w:val="78FD502C"/>
    <w:rsid w:val="790073DA"/>
    <w:rsid w:val="79152D42"/>
    <w:rsid w:val="792662C0"/>
    <w:rsid w:val="792E0BC6"/>
    <w:rsid w:val="794B6332"/>
    <w:rsid w:val="797257C1"/>
    <w:rsid w:val="79733540"/>
    <w:rsid w:val="7973528A"/>
    <w:rsid w:val="79935991"/>
    <w:rsid w:val="79986B03"/>
    <w:rsid w:val="79A5782F"/>
    <w:rsid w:val="79AD2705"/>
    <w:rsid w:val="79B07012"/>
    <w:rsid w:val="79CA3E88"/>
    <w:rsid w:val="79D4756E"/>
    <w:rsid w:val="79DC699D"/>
    <w:rsid w:val="79EA754E"/>
    <w:rsid w:val="79F56C4A"/>
    <w:rsid w:val="7A0A402D"/>
    <w:rsid w:val="7A1F56E1"/>
    <w:rsid w:val="7A3A767F"/>
    <w:rsid w:val="7A410CB2"/>
    <w:rsid w:val="7A72681F"/>
    <w:rsid w:val="7A8B4E65"/>
    <w:rsid w:val="7A92026D"/>
    <w:rsid w:val="7A9906C0"/>
    <w:rsid w:val="7B192282"/>
    <w:rsid w:val="7B197943"/>
    <w:rsid w:val="7B302F75"/>
    <w:rsid w:val="7B3F5183"/>
    <w:rsid w:val="7B65510B"/>
    <w:rsid w:val="7B6B2F47"/>
    <w:rsid w:val="7B7936E1"/>
    <w:rsid w:val="7B7F32D7"/>
    <w:rsid w:val="7B8A5BB3"/>
    <w:rsid w:val="7B9215FE"/>
    <w:rsid w:val="7BB030AB"/>
    <w:rsid w:val="7BC22498"/>
    <w:rsid w:val="7BCF0D28"/>
    <w:rsid w:val="7BE3602B"/>
    <w:rsid w:val="7BE50DA6"/>
    <w:rsid w:val="7BEC742E"/>
    <w:rsid w:val="7BFD3F38"/>
    <w:rsid w:val="7C05552B"/>
    <w:rsid w:val="7C146430"/>
    <w:rsid w:val="7C163DBC"/>
    <w:rsid w:val="7C196EDC"/>
    <w:rsid w:val="7C2572F0"/>
    <w:rsid w:val="7C336CAE"/>
    <w:rsid w:val="7C350056"/>
    <w:rsid w:val="7CF52823"/>
    <w:rsid w:val="7D046BF5"/>
    <w:rsid w:val="7D1E15D4"/>
    <w:rsid w:val="7D375D18"/>
    <w:rsid w:val="7D3D633F"/>
    <w:rsid w:val="7D4A2522"/>
    <w:rsid w:val="7D6B4BAC"/>
    <w:rsid w:val="7D8E3D38"/>
    <w:rsid w:val="7DAE0FFF"/>
    <w:rsid w:val="7DB621F1"/>
    <w:rsid w:val="7DC704EC"/>
    <w:rsid w:val="7DFF14BA"/>
    <w:rsid w:val="7E3B33C3"/>
    <w:rsid w:val="7E4E5AEB"/>
    <w:rsid w:val="7EAD2E07"/>
    <w:rsid w:val="7EBC783A"/>
    <w:rsid w:val="7EE26785"/>
    <w:rsid w:val="7EE63AC2"/>
    <w:rsid w:val="7F0C44A9"/>
    <w:rsid w:val="7F170AE9"/>
    <w:rsid w:val="7F1A1E3E"/>
    <w:rsid w:val="7F1A7091"/>
    <w:rsid w:val="7F290715"/>
    <w:rsid w:val="7F2B1FAD"/>
    <w:rsid w:val="7F3227E3"/>
    <w:rsid w:val="7F4102C7"/>
    <w:rsid w:val="7F4F727D"/>
    <w:rsid w:val="7F70795F"/>
    <w:rsid w:val="7F743B6E"/>
    <w:rsid w:val="7F87737E"/>
    <w:rsid w:val="7FC950D4"/>
    <w:rsid w:val="7FD767E0"/>
    <w:rsid w:val="7FED3D3F"/>
    <w:rsid w:val="7FEF127B"/>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1"/>
      <w:lang w:val="en-US" w:eastAsia="zh-CN" w:bidi="ar-SA"/>
    </w:rPr>
  </w:style>
  <w:style w:type="paragraph" w:styleId="4">
    <w:name w:val="heading 1"/>
    <w:basedOn w:val="1"/>
    <w:next w:val="1"/>
    <w:qFormat/>
    <w:uiPriority w:val="9"/>
    <w:pPr>
      <w:keepNext/>
      <w:keepLines/>
      <w:spacing w:before="340" w:after="330" w:line="576" w:lineRule="auto"/>
      <w:outlineLvl w:val="0"/>
    </w:pPr>
    <w:rPr>
      <w:b/>
      <w:bCs/>
      <w:kern w:val="44"/>
      <w:sz w:val="44"/>
      <w:szCs w:val="44"/>
    </w:rPr>
  </w:style>
  <w:style w:type="paragraph" w:styleId="5">
    <w:name w:val="heading 2"/>
    <w:basedOn w:val="1"/>
    <w:next w:val="1"/>
    <w:qFormat/>
    <w:uiPriority w:val="9"/>
    <w:pPr>
      <w:keepNext/>
      <w:keepLines/>
      <w:adjustRightInd w:val="0"/>
      <w:snapToGrid w:val="0"/>
      <w:spacing w:line="360" w:lineRule="auto"/>
      <w:jc w:val="center"/>
      <w:outlineLvl w:val="1"/>
    </w:pPr>
    <w:rPr>
      <w:rFonts w:ascii="宋体" w:hAnsi="Arial" w:cs="宋体"/>
      <w:sz w:val="32"/>
    </w:rPr>
  </w:style>
  <w:style w:type="paragraph" w:styleId="6">
    <w:name w:val="heading 3"/>
    <w:basedOn w:val="1"/>
    <w:next w:val="7"/>
    <w:link w:val="65"/>
    <w:qFormat/>
    <w:uiPriority w:val="0"/>
    <w:pPr>
      <w:widowControl w:val="0"/>
      <w:tabs>
        <w:tab w:val="left" w:pos="851"/>
      </w:tabs>
      <w:autoSpaceDE w:val="0"/>
      <w:autoSpaceDN w:val="0"/>
      <w:adjustRightInd w:val="0"/>
      <w:snapToGrid w:val="0"/>
      <w:spacing w:line="360" w:lineRule="auto"/>
      <w:jc w:val="both"/>
      <w:outlineLvl w:val="2"/>
    </w:pPr>
    <w:rPr>
      <w:rFonts w:ascii="宋体"/>
    </w:rPr>
  </w:style>
  <w:style w:type="paragraph" w:styleId="8">
    <w:name w:val="heading 4"/>
    <w:basedOn w:val="1"/>
    <w:next w:val="7"/>
    <w:link w:val="62"/>
    <w:qFormat/>
    <w:uiPriority w:val="0"/>
    <w:pPr>
      <w:widowControl w:val="0"/>
      <w:autoSpaceDE w:val="0"/>
      <w:autoSpaceDN w:val="0"/>
      <w:adjustRightInd w:val="0"/>
      <w:snapToGrid w:val="0"/>
      <w:spacing w:line="360" w:lineRule="auto"/>
      <w:jc w:val="both"/>
      <w:outlineLvl w:val="3"/>
    </w:pPr>
    <w:rPr>
      <w:rFonts w:ascii="宋体" w:hAnsi="Arial"/>
      <w:color w:val="000000"/>
    </w:rPr>
  </w:style>
  <w:style w:type="paragraph" w:styleId="9">
    <w:name w:val="heading 5"/>
    <w:basedOn w:val="1"/>
    <w:next w:val="7"/>
    <w:qFormat/>
    <w:uiPriority w:val="0"/>
    <w:pPr>
      <w:keepNext/>
      <w:widowControl w:val="0"/>
      <w:autoSpaceDE w:val="0"/>
      <w:autoSpaceDN w:val="0"/>
      <w:adjustRightInd w:val="0"/>
      <w:snapToGrid w:val="0"/>
      <w:spacing w:before="280" w:after="290" w:line="374" w:lineRule="auto"/>
      <w:jc w:val="both"/>
      <w:outlineLvl w:val="4"/>
    </w:pPr>
    <w:rPr>
      <w:rFonts w:ascii="宋体" w:cs="宋体"/>
      <w:b/>
      <w:color w:val="000000"/>
      <w:sz w:val="28"/>
    </w:rPr>
  </w:style>
  <w:style w:type="paragraph" w:styleId="10">
    <w:name w:val="heading 6"/>
    <w:basedOn w:val="1"/>
    <w:next w:val="7"/>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b/>
      <w:color w:val="000000"/>
      <w:sz w:val="24"/>
    </w:rPr>
  </w:style>
  <w:style w:type="paragraph" w:styleId="11">
    <w:name w:val="heading 7"/>
    <w:basedOn w:val="1"/>
    <w:next w:val="7"/>
    <w:qFormat/>
    <w:uiPriority w:val="0"/>
    <w:pPr>
      <w:keepNext/>
      <w:widowControl w:val="0"/>
      <w:autoSpaceDE w:val="0"/>
      <w:autoSpaceDN w:val="0"/>
      <w:adjustRightInd w:val="0"/>
      <w:snapToGrid w:val="0"/>
      <w:spacing w:before="240" w:after="64" w:line="319" w:lineRule="auto"/>
      <w:jc w:val="both"/>
      <w:outlineLvl w:val="6"/>
    </w:pPr>
    <w:rPr>
      <w:rFonts w:ascii="宋体"/>
      <w:b/>
      <w:color w:val="000000"/>
      <w:sz w:val="24"/>
    </w:rPr>
  </w:style>
  <w:style w:type="paragraph" w:styleId="12">
    <w:name w:val="heading 8"/>
    <w:basedOn w:val="1"/>
    <w:next w:val="7"/>
    <w:qFormat/>
    <w:uiPriority w:val="0"/>
    <w:pPr>
      <w:keepNext/>
      <w:widowControl w:val="0"/>
      <w:autoSpaceDE w:val="0"/>
      <w:autoSpaceDN w:val="0"/>
      <w:adjustRightInd w:val="0"/>
      <w:snapToGrid w:val="0"/>
      <w:spacing w:before="240" w:after="64" w:line="319" w:lineRule="auto"/>
      <w:jc w:val="both"/>
      <w:outlineLvl w:val="7"/>
    </w:pPr>
    <w:rPr>
      <w:rFonts w:ascii="Arial" w:hAnsi="Arial" w:eastAsia="黑体"/>
      <w:color w:val="000000"/>
      <w:sz w:val="24"/>
    </w:rPr>
  </w:style>
  <w:style w:type="paragraph" w:styleId="13">
    <w:name w:val="heading 9"/>
    <w:basedOn w:val="1"/>
    <w:next w:val="7"/>
    <w:qFormat/>
    <w:uiPriority w:val="0"/>
    <w:pPr>
      <w:keepNext/>
      <w:widowControl w:val="0"/>
      <w:autoSpaceDE w:val="0"/>
      <w:autoSpaceDN w:val="0"/>
      <w:adjustRightInd w:val="0"/>
      <w:snapToGrid w:val="0"/>
      <w:spacing w:before="240" w:after="64" w:line="319" w:lineRule="auto"/>
      <w:jc w:val="both"/>
      <w:outlineLvl w:val="8"/>
    </w:pPr>
    <w:rPr>
      <w:rFonts w:ascii="Arial" w:hAnsi="Arial" w:eastAsia="黑体"/>
      <w:color w:val="00000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sz w:val="22"/>
      <w:szCs w:val="22"/>
    </w:rPr>
  </w:style>
  <w:style w:type="paragraph" w:styleId="3">
    <w:name w:val="Body Text"/>
    <w:basedOn w:val="1"/>
    <w:next w:val="1"/>
    <w:qFormat/>
    <w:uiPriority w:val="0"/>
    <w:pPr>
      <w:spacing w:after="120"/>
    </w:pPr>
  </w:style>
  <w:style w:type="paragraph" w:styleId="7">
    <w:name w:val="Normal Indent"/>
    <w:basedOn w:val="1"/>
    <w:link w:val="52"/>
    <w:qFormat/>
    <w:uiPriority w:val="99"/>
    <w:pPr>
      <w:ind w:firstLine="420"/>
    </w:pPr>
  </w:style>
  <w:style w:type="paragraph" w:styleId="14">
    <w:name w:val="toc 7"/>
    <w:basedOn w:val="1"/>
    <w:next w:val="1"/>
    <w:unhideWhenUsed/>
    <w:qFormat/>
    <w:uiPriority w:val="0"/>
    <w:pPr>
      <w:widowControl w:val="0"/>
      <w:ind w:left="2520" w:leftChars="1200"/>
      <w:jc w:val="both"/>
    </w:pPr>
    <w:rPr>
      <w:rFonts w:ascii="Calibri" w:hAnsi="Calibri"/>
      <w:kern w:val="2"/>
      <w:szCs w:val="22"/>
    </w:rPr>
  </w:style>
  <w:style w:type="paragraph" w:styleId="15">
    <w:name w:val="caption"/>
    <w:basedOn w:val="1"/>
    <w:next w:val="1"/>
    <w:semiHidden/>
    <w:unhideWhenUsed/>
    <w:qFormat/>
    <w:uiPriority w:val="0"/>
    <w:rPr>
      <w:rFonts w:eastAsia="黑体" w:asciiTheme="majorHAnsi" w:hAnsiTheme="majorHAnsi" w:cstheme="majorBidi"/>
      <w:sz w:val="20"/>
    </w:rPr>
  </w:style>
  <w:style w:type="paragraph" w:styleId="16">
    <w:name w:val="Document Map"/>
    <w:basedOn w:val="1"/>
    <w:link w:val="61"/>
    <w:qFormat/>
    <w:uiPriority w:val="0"/>
    <w:rPr>
      <w:rFonts w:ascii="宋体"/>
      <w:sz w:val="18"/>
      <w:szCs w:val="18"/>
    </w:rPr>
  </w:style>
  <w:style w:type="paragraph" w:styleId="17">
    <w:name w:val="annotation text"/>
    <w:basedOn w:val="1"/>
    <w:next w:val="18"/>
    <w:link w:val="60"/>
    <w:qFormat/>
    <w:uiPriority w:val="0"/>
    <w:pPr>
      <w:widowControl w:val="0"/>
    </w:pPr>
  </w:style>
  <w:style w:type="paragraph" w:styleId="18">
    <w:name w:val="Balloon Text"/>
    <w:basedOn w:val="1"/>
    <w:link w:val="63"/>
    <w:qFormat/>
    <w:uiPriority w:val="99"/>
    <w:rPr>
      <w:sz w:val="18"/>
      <w:szCs w:val="18"/>
    </w:rPr>
  </w:style>
  <w:style w:type="paragraph" w:styleId="19">
    <w:name w:val="Body Text 3"/>
    <w:basedOn w:val="1"/>
    <w:link w:val="53"/>
    <w:qFormat/>
    <w:uiPriority w:val="0"/>
    <w:pPr>
      <w:spacing w:after="120"/>
    </w:pPr>
    <w:rPr>
      <w:sz w:val="16"/>
      <w:szCs w:val="16"/>
    </w:rPr>
  </w:style>
  <w:style w:type="paragraph" w:styleId="20">
    <w:name w:val="Body Text Indent"/>
    <w:basedOn w:val="1"/>
    <w:qFormat/>
    <w:uiPriority w:val="0"/>
    <w:pPr>
      <w:spacing w:after="120"/>
      <w:ind w:left="420" w:leftChars="200"/>
    </w:pPr>
  </w:style>
  <w:style w:type="paragraph" w:styleId="21">
    <w:name w:val="toc 5"/>
    <w:basedOn w:val="1"/>
    <w:next w:val="1"/>
    <w:unhideWhenUsed/>
    <w:qFormat/>
    <w:uiPriority w:val="0"/>
    <w:pPr>
      <w:widowControl w:val="0"/>
      <w:ind w:left="1680" w:leftChars="800"/>
      <w:jc w:val="both"/>
    </w:pPr>
    <w:rPr>
      <w:rFonts w:ascii="Calibri" w:hAnsi="Calibri"/>
      <w:kern w:val="2"/>
      <w:szCs w:val="22"/>
    </w:rPr>
  </w:style>
  <w:style w:type="paragraph" w:styleId="22">
    <w:name w:val="toc 3"/>
    <w:basedOn w:val="1"/>
    <w:next w:val="1"/>
    <w:qFormat/>
    <w:uiPriority w:val="0"/>
    <w:pPr>
      <w:ind w:left="840" w:leftChars="400"/>
    </w:pPr>
  </w:style>
  <w:style w:type="paragraph" w:styleId="23">
    <w:name w:val="Plain Text"/>
    <w:basedOn w:val="1"/>
    <w:next w:val="1"/>
    <w:link w:val="57"/>
    <w:qFormat/>
    <w:uiPriority w:val="99"/>
    <w:rPr>
      <w:rFonts w:ascii="宋体" w:hAnsi="Courier New"/>
      <w:szCs w:val="21"/>
    </w:rPr>
  </w:style>
  <w:style w:type="paragraph" w:styleId="24">
    <w:name w:val="toc 8"/>
    <w:basedOn w:val="1"/>
    <w:next w:val="1"/>
    <w:unhideWhenUsed/>
    <w:qFormat/>
    <w:uiPriority w:val="0"/>
    <w:pPr>
      <w:widowControl w:val="0"/>
      <w:ind w:left="2940" w:leftChars="1400"/>
      <w:jc w:val="both"/>
    </w:pPr>
    <w:rPr>
      <w:rFonts w:ascii="Calibri" w:hAnsi="Calibri"/>
      <w:kern w:val="2"/>
      <w:szCs w:val="22"/>
    </w:rPr>
  </w:style>
  <w:style w:type="paragraph" w:styleId="25">
    <w:name w:val="Date"/>
    <w:basedOn w:val="1"/>
    <w:next w:val="1"/>
    <w:link w:val="181"/>
    <w:qFormat/>
    <w:uiPriority w:val="0"/>
    <w:pPr>
      <w:widowControl w:val="0"/>
      <w:jc w:val="both"/>
    </w:pPr>
    <w:rPr>
      <w:rFonts w:ascii="楷体_GB2312" w:eastAsia="楷体_GB2312"/>
      <w:kern w:val="2"/>
      <w:sz w:val="28"/>
    </w:rPr>
  </w:style>
  <w:style w:type="paragraph" w:styleId="26">
    <w:name w:val="Body Text Indent 2"/>
    <w:basedOn w:val="1"/>
    <w:qFormat/>
    <w:uiPriority w:val="0"/>
    <w:pPr>
      <w:spacing w:after="120" w:line="480" w:lineRule="auto"/>
      <w:ind w:left="420" w:leftChars="200"/>
    </w:pPr>
  </w:style>
  <w:style w:type="paragraph" w:styleId="27">
    <w:name w:val="footer"/>
    <w:basedOn w:val="1"/>
    <w:link w:val="58"/>
    <w:qFormat/>
    <w:uiPriority w:val="99"/>
    <w:pPr>
      <w:tabs>
        <w:tab w:val="center" w:pos="4153"/>
        <w:tab w:val="right" w:pos="8306"/>
      </w:tabs>
      <w:snapToGrid w:val="0"/>
    </w:pPr>
    <w:rPr>
      <w:sz w:val="18"/>
    </w:rPr>
  </w:style>
  <w:style w:type="paragraph" w:styleId="28">
    <w:name w:val="header"/>
    <w:basedOn w:val="1"/>
    <w:link w:val="56"/>
    <w:qFormat/>
    <w:uiPriority w:val="99"/>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ind w:left="824" w:hanging="824"/>
    </w:pPr>
    <w:rPr>
      <w:rFonts w:ascii="宋体"/>
    </w:rPr>
  </w:style>
  <w:style w:type="paragraph" w:styleId="30">
    <w:name w:val="toc 4"/>
    <w:basedOn w:val="1"/>
    <w:next w:val="1"/>
    <w:unhideWhenUsed/>
    <w:qFormat/>
    <w:uiPriority w:val="0"/>
    <w:pPr>
      <w:widowControl w:val="0"/>
      <w:ind w:left="1260" w:leftChars="600"/>
      <w:jc w:val="both"/>
    </w:pPr>
    <w:rPr>
      <w:rFonts w:ascii="Calibri" w:hAnsi="Calibri"/>
      <w:kern w:val="2"/>
      <w:szCs w:val="22"/>
    </w:rPr>
  </w:style>
  <w:style w:type="paragraph" w:styleId="31">
    <w:name w:val="toc 6"/>
    <w:basedOn w:val="1"/>
    <w:next w:val="1"/>
    <w:unhideWhenUsed/>
    <w:qFormat/>
    <w:uiPriority w:val="0"/>
    <w:pPr>
      <w:widowControl w:val="0"/>
      <w:ind w:left="2100" w:leftChars="1000"/>
      <w:jc w:val="both"/>
    </w:pPr>
    <w:rPr>
      <w:rFonts w:ascii="Calibri" w:hAnsi="Calibri"/>
      <w:kern w:val="2"/>
      <w:szCs w:val="22"/>
    </w:rPr>
  </w:style>
  <w:style w:type="paragraph" w:styleId="32">
    <w:name w:val="Body Text Indent 3"/>
    <w:basedOn w:val="1"/>
    <w:qFormat/>
    <w:uiPriority w:val="0"/>
    <w:pPr>
      <w:spacing w:after="120"/>
      <w:ind w:left="420" w:leftChars="200"/>
    </w:pPr>
    <w:rPr>
      <w:sz w:val="16"/>
      <w:szCs w:val="16"/>
    </w:rPr>
  </w:style>
  <w:style w:type="paragraph" w:styleId="33">
    <w:name w:val="toc 2"/>
    <w:basedOn w:val="1"/>
    <w:next w:val="1"/>
    <w:qFormat/>
    <w:uiPriority w:val="39"/>
    <w:pPr>
      <w:tabs>
        <w:tab w:val="right" w:leader="dot" w:pos="9402"/>
      </w:tabs>
      <w:spacing w:line="360" w:lineRule="auto"/>
      <w:ind w:left="993" w:leftChars="202" w:hanging="569" w:hangingChars="237"/>
    </w:pPr>
  </w:style>
  <w:style w:type="paragraph" w:styleId="34">
    <w:name w:val="toc 9"/>
    <w:basedOn w:val="1"/>
    <w:next w:val="1"/>
    <w:unhideWhenUsed/>
    <w:qFormat/>
    <w:uiPriority w:val="0"/>
    <w:pPr>
      <w:widowControl w:val="0"/>
      <w:ind w:left="3360" w:leftChars="1600"/>
      <w:jc w:val="both"/>
    </w:pPr>
    <w:rPr>
      <w:rFonts w:ascii="Calibri" w:hAnsi="Calibri"/>
      <w:kern w:val="2"/>
      <w:szCs w:val="22"/>
    </w:rPr>
  </w:style>
  <w:style w:type="paragraph" w:styleId="35">
    <w:name w:val="Body Text 2"/>
    <w:basedOn w:val="1"/>
    <w:qFormat/>
    <w:uiPriority w:val="0"/>
    <w:pPr>
      <w:spacing w:after="120" w:line="480" w:lineRule="auto"/>
    </w:pPr>
  </w:style>
  <w:style w:type="paragraph" w:styleId="36">
    <w:name w:val="HTML Preformatted"/>
    <w:basedOn w:val="1"/>
    <w:link w:val="184"/>
    <w:qFormat/>
    <w:uiPriority w:val="99"/>
    <w:rPr>
      <w:rFonts w:ascii="黑体" w:hAnsi="Courier New" w:eastAsia="黑体" w:cs="Courier New"/>
      <w:sz w:val="20"/>
      <w:szCs w:val="21"/>
    </w:rPr>
  </w:style>
  <w:style w:type="paragraph" w:styleId="37">
    <w:name w:val="Normal (Web)"/>
    <w:basedOn w:val="1"/>
    <w:qFormat/>
    <w:uiPriority w:val="99"/>
    <w:pPr>
      <w:spacing w:before="100" w:beforeAutospacing="1" w:after="100" w:afterAutospacing="1"/>
    </w:pPr>
    <w:rPr>
      <w:rFonts w:ascii="宋体" w:hAnsi="宋体" w:cs="宋体"/>
      <w:sz w:val="24"/>
      <w:szCs w:val="24"/>
    </w:rPr>
  </w:style>
  <w:style w:type="paragraph" w:styleId="38">
    <w:name w:val="Title"/>
    <w:basedOn w:val="1"/>
    <w:next w:val="1"/>
    <w:qFormat/>
    <w:uiPriority w:val="0"/>
    <w:pPr>
      <w:spacing w:before="120"/>
      <w:jc w:val="center"/>
      <w:outlineLvl w:val="0"/>
    </w:pPr>
    <w:rPr>
      <w:rFonts w:cs="Arial"/>
      <w:b/>
      <w:bCs/>
      <w:kern w:val="2"/>
      <w:sz w:val="30"/>
      <w:szCs w:val="32"/>
    </w:rPr>
  </w:style>
  <w:style w:type="paragraph" w:styleId="39">
    <w:name w:val="annotation subject"/>
    <w:basedOn w:val="17"/>
    <w:next w:val="17"/>
    <w:link w:val="59"/>
    <w:qFormat/>
    <w:uiPriority w:val="99"/>
    <w:pPr>
      <w:widowControl/>
    </w:pPr>
    <w:rPr>
      <w:b/>
      <w:bCs/>
      <w:kern w:val="2"/>
      <w:szCs w:val="24"/>
    </w:rPr>
  </w:style>
  <w:style w:type="paragraph" w:styleId="40">
    <w:name w:val="Body Text First Indent 2"/>
    <w:basedOn w:val="20"/>
    <w:qFormat/>
    <w:uiPriority w:val="0"/>
    <w:pPr>
      <w:ind w:firstLine="420" w:firstLineChars="200"/>
    </w:pPr>
  </w:style>
  <w:style w:type="table" w:styleId="42">
    <w:name w:val="Table Grid"/>
    <w:basedOn w:val="41"/>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99"/>
  </w:style>
  <w:style w:type="character" w:styleId="46">
    <w:name w:val="Hyperlink"/>
    <w:basedOn w:val="43"/>
    <w:qFormat/>
    <w:uiPriority w:val="99"/>
    <w:rPr>
      <w:color w:val="0000FF"/>
      <w:u w:val="single"/>
    </w:rPr>
  </w:style>
  <w:style w:type="character" w:styleId="47">
    <w:name w:val="annotation reference"/>
    <w:qFormat/>
    <w:uiPriority w:val="0"/>
    <w:rPr>
      <w:sz w:val="21"/>
      <w:szCs w:val="21"/>
    </w:rPr>
  </w:style>
  <w:style w:type="paragraph" w:customStyle="1" w:styleId="48">
    <w:name w:val="正文_1_1"/>
    <w:next w:val="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Default"/>
    <w:qFormat/>
    <w:uiPriority w:val="0"/>
    <w:pPr>
      <w:widowControl w:val="0"/>
      <w:autoSpaceDE w:val="0"/>
      <w:autoSpaceDN w:val="0"/>
      <w:adjustRightInd w:val="0"/>
    </w:pPr>
    <w:rPr>
      <w:rFonts w:ascii="华文细黑" w:hAnsi="华文细黑" w:eastAsia="华文细黑" w:cs="华文细黑"/>
      <w:color w:val="000000"/>
      <w:sz w:val="24"/>
      <w:szCs w:val="24"/>
      <w:lang w:val="en-US" w:eastAsia="zh-CN" w:bidi="ar-SA"/>
    </w:rPr>
  </w:style>
  <w:style w:type="character" w:customStyle="1" w:styleId="50">
    <w:name w:val="访问过的超链接1"/>
    <w:qFormat/>
    <w:uiPriority w:val="99"/>
    <w:rPr>
      <w:color w:val="800080"/>
      <w:u w:val="single"/>
    </w:rPr>
  </w:style>
  <w:style w:type="character" w:customStyle="1" w:styleId="51">
    <w:name w:val="wf1"/>
    <w:qFormat/>
    <w:uiPriority w:val="0"/>
    <w:rPr>
      <w:rFonts w:hint="eastAsia" w:ascii="宋体" w:hAnsi="宋体" w:eastAsia="宋体"/>
      <w:sz w:val="24"/>
      <w:szCs w:val="24"/>
    </w:rPr>
  </w:style>
  <w:style w:type="character" w:customStyle="1" w:styleId="52">
    <w:name w:val="正文缩进 Char"/>
    <w:link w:val="7"/>
    <w:qFormat/>
    <w:uiPriority w:val="0"/>
    <w:rPr>
      <w:rFonts w:eastAsia="宋体"/>
      <w:sz w:val="21"/>
      <w:lang w:val="en-US" w:eastAsia="zh-CN" w:bidi="ar-SA"/>
    </w:rPr>
  </w:style>
  <w:style w:type="character" w:customStyle="1" w:styleId="53">
    <w:name w:val="正文文本 3 Char"/>
    <w:link w:val="19"/>
    <w:qFormat/>
    <w:uiPriority w:val="0"/>
    <w:rPr>
      <w:sz w:val="16"/>
      <w:szCs w:val="16"/>
    </w:rPr>
  </w:style>
  <w:style w:type="character" w:customStyle="1" w:styleId="54">
    <w:name w:val="批注文字 Char"/>
    <w:qFormat/>
    <w:uiPriority w:val="0"/>
    <w:rPr>
      <w:kern w:val="2"/>
      <w:sz w:val="21"/>
      <w:szCs w:val="24"/>
    </w:rPr>
  </w:style>
  <w:style w:type="character" w:customStyle="1" w:styleId="55">
    <w:name w:val="16"/>
    <w:qFormat/>
    <w:uiPriority w:val="0"/>
    <w:rPr>
      <w:szCs w:val="24"/>
    </w:rPr>
  </w:style>
  <w:style w:type="character" w:customStyle="1" w:styleId="56">
    <w:name w:val="页眉 Char"/>
    <w:link w:val="28"/>
    <w:qFormat/>
    <w:uiPriority w:val="99"/>
    <w:rPr>
      <w:sz w:val="18"/>
    </w:rPr>
  </w:style>
  <w:style w:type="character" w:customStyle="1" w:styleId="57">
    <w:name w:val="纯文本 Char"/>
    <w:link w:val="23"/>
    <w:qFormat/>
    <w:locked/>
    <w:uiPriority w:val="99"/>
    <w:rPr>
      <w:rFonts w:ascii="宋体" w:hAnsi="Courier New" w:cs="Courier New"/>
      <w:sz w:val="21"/>
      <w:szCs w:val="21"/>
    </w:rPr>
  </w:style>
  <w:style w:type="character" w:customStyle="1" w:styleId="58">
    <w:name w:val="页脚 Char"/>
    <w:link w:val="27"/>
    <w:qFormat/>
    <w:uiPriority w:val="99"/>
    <w:rPr>
      <w:sz w:val="18"/>
    </w:rPr>
  </w:style>
  <w:style w:type="character" w:customStyle="1" w:styleId="59">
    <w:name w:val="批注主题 Char"/>
    <w:link w:val="39"/>
    <w:qFormat/>
    <w:uiPriority w:val="99"/>
    <w:rPr>
      <w:b/>
      <w:bCs/>
      <w:kern w:val="2"/>
      <w:sz w:val="21"/>
      <w:szCs w:val="24"/>
    </w:rPr>
  </w:style>
  <w:style w:type="character" w:customStyle="1" w:styleId="60">
    <w:name w:val="批注文字 Char1"/>
    <w:link w:val="17"/>
    <w:qFormat/>
    <w:uiPriority w:val="0"/>
    <w:rPr>
      <w:sz w:val="21"/>
    </w:rPr>
  </w:style>
  <w:style w:type="character" w:customStyle="1" w:styleId="61">
    <w:name w:val="文档结构图 Char"/>
    <w:link w:val="16"/>
    <w:qFormat/>
    <w:uiPriority w:val="0"/>
    <w:rPr>
      <w:rFonts w:ascii="宋体"/>
      <w:sz w:val="18"/>
      <w:szCs w:val="18"/>
    </w:rPr>
  </w:style>
  <w:style w:type="character" w:customStyle="1" w:styleId="62">
    <w:name w:val="标题 4 Char1"/>
    <w:link w:val="8"/>
    <w:qFormat/>
    <w:uiPriority w:val="0"/>
    <w:rPr>
      <w:rFonts w:ascii="宋体" w:hAnsi="Arial" w:cs="宋体"/>
      <w:color w:val="000000"/>
      <w:sz w:val="21"/>
    </w:rPr>
  </w:style>
  <w:style w:type="character" w:customStyle="1" w:styleId="63">
    <w:name w:val="批注框文本 Char"/>
    <w:link w:val="18"/>
    <w:qFormat/>
    <w:uiPriority w:val="99"/>
    <w:rPr>
      <w:rFonts w:eastAsia="宋体"/>
      <w:sz w:val="18"/>
      <w:szCs w:val="18"/>
      <w:lang w:val="en-US" w:eastAsia="zh-CN" w:bidi="ar-SA"/>
    </w:rPr>
  </w:style>
  <w:style w:type="character" w:customStyle="1" w:styleId="64">
    <w:name w:val="ll1"/>
    <w:qFormat/>
    <w:uiPriority w:val="0"/>
    <w:rPr>
      <w:spacing w:val="31680"/>
    </w:rPr>
  </w:style>
  <w:style w:type="character" w:customStyle="1" w:styleId="65">
    <w:name w:val="标题 3 Char"/>
    <w:link w:val="6"/>
    <w:qFormat/>
    <w:uiPriority w:val="0"/>
    <w:rPr>
      <w:rFonts w:ascii="宋体" w:cs="宋体"/>
      <w:sz w:val="21"/>
    </w:rPr>
  </w:style>
  <w:style w:type="character" w:customStyle="1" w:styleId="66">
    <w:name w:val="p141"/>
    <w:qFormat/>
    <w:uiPriority w:val="99"/>
    <w:rPr>
      <w:sz w:val="21"/>
      <w:szCs w:val="21"/>
    </w:rPr>
  </w:style>
  <w:style w:type="paragraph" w:customStyle="1" w:styleId="67">
    <w:name w:val="xl3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pPr>
    <w:rPr>
      <w:sz w:val="24"/>
      <w:szCs w:val="24"/>
    </w:rPr>
  </w:style>
  <w:style w:type="paragraph" w:customStyle="1" w:styleId="68">
    <w:name w:val="列出段落1"/>
    <w:basedOn w:val="1"/>
    <w:qFormat/>
    <w:uiPriority w:val="34"/>
    <w:pPr>
      <w:ind w:firstLine="420" w:firstLineChars="200"/>
    </w:pPr>
  </w:style>
  <w:style w:type="paragraph" w:customStyle="1" w:styleId="69">
    <w:name w:val="TOC 标题1"/>
    <w:basedOn w:val="4"/>
    <w:next w:val="1"/>
    <w:qFormat/>
    <w:uiPriority w:val="0"/>
    <w:pPr>
      <w:spacing w:before="480" w:after="0" w:line="276" w:lineRule="auto"/>
      <w:outlineLvl w:val="9"/>
    </w:pPr>
    <w:rPr>
      <w:rFonts w:ascii="Cambria" w:hAnsi="Cambria"/>
      <w:color w:val="365F91"/>
      <w:kern w:val="0"/>
      <w:sz w:val="28"/>
      <w:szCs w:val="28"/>
    </w:rPr>
  </w:style>
  <w:style w:type="paragraph" w:customStyle="1" w:styleId="70">
    <w:name w:val="Char Char Char Char Char Char"/>
    <w:basedOn w:val="1"/>
    <w:qFormat/>
    <w:uiPriority w:val="0"/>
    <w:rPr>
      <w:szCs w:val="24"/>
    </w:rPr>
  </w:style>
  <w:style w:type="paragraph" w:customStyle="1" w:styleId="71">
    <w:name w:val="Char12"/>
    <w:basedOn w:val="1"/>
    <w:qFormat/>
    <w:uiPriority w:val="0"/>
    <w:pPr>
      <w:widowControl w:val="0"/>
      <w:jc w:val="both"/>
    </w:pPr>
    <w:rPr>
      <w:kern w:val="2"/>
    </w:rPr>
  </w:style>
  <w:style w:type="paragraph" w:customStyle="1" w:styleId="72">
    <w:name w:val="xl26"/>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73">
    <w:name w:val="需求书2"/>
    <w:basedOn w:val="1"/>
    <w:qFormat/>
    <w:uiPriority w:val="0"/>
    <w:pPr>
      <w:widowControl w:val="0"/>
      <w:jc w:val="both"/>
    </w:pPr>
    <w:rPr>
      <w:rFonts w:ascii="宋体" w:hAnsi="宋体"/>
      <w:b/>
      <w:spacing w:val="10"/>
      <w:kern w:val="2"/>
      <w:sz w:val="24"/>
      <w:szCs w:val="24"/>
    </w:rPr>
  </w:style>
  <w:style w:type="paragraph" w:customStyle="1" w:styleId="74">
    <w:name w:val="Char Char Char Char Char1 Char"/>
    <w:basedOn w:val="1"/>
    <w:qFormat/>
    <w:uiPriority w:val="0"/>
    <w:pPr>
      <w:widowControl w:val="0"/>
      <w:jc w:val="both"/>
    </w:pPr>
    <w:rPr>
      <w:rFonts w:ascii="Tahoma" w:hAnsi="Tahoma"/>
      <w:kern w:val="2"/>
      <w:sz w:val="24"/>
    </w:rPr>
  </w:style>
  <w:style w:type="paragraph" w:customStyle="1" w:styleId="75">
    <w:name w:val="f11"/>
    <w:basedOn w:val="1"/>
    <w:qFormat/>
    <w:uiPriority w:val="0"/>
    <w:pPr>
      <w:spacing w:before="100" w:beforeAutospacing="1" w:after="100" w:afterAutospacing="1" w:line="320" w:lineRule="atLeast"/>
    </w:pPr>
    <w:rPr>
      <w:rFonts w:ascii="_GB2312" w:hAnsi="_GB2312"/>
      <w:color w:val="000000"/>
      <w:sz w:val="28"/>
      <w:szCs w:val="28"/>
    </w:rPr>
  </w:style>
  <w:style w:type="paragraph" w:customStyle="1" w:styleId="76">
    <w:name w:val="xl39"/>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textAlignment w:val="top"/>
    </w:pPr>
    <w:rPr>
      <w:rFonts w:ascii="宋体" w:hAnsi="宋体" w:cs="宋体"/>
      <w:sz w:val="24"/>
      <w:szCs w:val="24"/>
    </w:rPr>
  </w:style>
  <w:style w:type="paragraph" w:customStyle="1" w:styleId="77">
    <w:name w:val="正文_13"/>
    <w:qFormat/>
    <w:uiPriority w:val="0"/>
    <w:rPr>
      <w:rFonts w:ascii="Times New Roman" w:hAnsi="Times New Roman" w:eastAsia="宋体" w:cs="Times New Roman"/>
      <w:sz w:val="21"/>
      <w:lang w:val="en-US" w:eastAsia="zh-CN" w:bidi="ar-SA"/>
    </w:rPr>
  </w:style>
  <w:style w:type="paragraph" w:customStyle="1" w:styleId="78">
    <w:name w:val="150"/>
    <w:basedOn w:val="1"/>
    <w:qFormat/>
    <w:uiPriority w:val="0"/>
    <w:pPr>
      <w:spacing w:before="100" w:beforeAutospacing="1" w:after="100" w:afterAutospacing="1" w:line="360" w:lineRule="auto"/>
    </w:pPr>
    <w:rPr>
      <w:rFonts w:ascii="宋体" w:hAnsi="宋体"/>
      <w:color w:val="000000"/>
      <w:sz w:val="24"/>
      <w:szCs w:val="24"/>
    </w:rPr>
  </w:style>
  <w:style w:type="paragraph" w:customStyle="1" w:styleId="79">
    <w:name w:val="130"/>
    <w:basedOn w:val="1"/>
    <w:qFormat/>
    <w:uiPriority w:val="0"/>
    <w:pPr>
      <w:spacing w:before="100" w:beforeAutospacing="1" w:after="100" w:afterAutospacing="1" w:line="324" w:lineRule="auto"/>
    </w:pPr>
    <w:rPr>
      <w:rFonts w:ascii="宋体" w:hAnsi="宋体"/>
      <w:color w:val="000000"/>
      <w:sz w:val="24"/>
      <w:szCs w:val="24"/>
    </w:rPr>
  </w:style>
  <w:style w:type="paragraph" w:customStyle="1" w:styleId="80">
    <w:name w:val="xl41"/>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pPr>
    <w:rPr>
      <w:rFonts w:ascii="宋体" w:hAnsi="宋体" w:cs="宋体"/>
      <w:sz w:val="24"/>
      <w:szCs w:val="24"/>
    </w:rPr>
  </w:style>
  <w:style w:type="paragraph" w:customStyle="1" w:styleId="81">
    <w:name w:val="xl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82">
    <w:name w:val="font7"/>
    <w:basedOn w:val="1"/>
    <w:qFormat/>
    <w:uiPriority w:val="0"/>
    <w:pPr>
      <w:spacing w:before="100" w:beforeAutospacing="1" w:after="100" w:afterAutospacing="1"/>
    </w:pPr>
    <w:rPr>
      <w:rFonts w:ascii="宋体" w:hAnsi="宋体" w:cs="宋体"/>
      <w:b/>
      <w:bCs/>
      <w:sz w:val="36"/>
      <w:szCs w:val="36"/>
    </w:rPr>
  </w:style>
  <w:style w:type="paragraph" w:customStyle="1" w:styleId="83">
    <w:name w:val="f12"/>
    <w:basedOn w:val="1"/>
    <w:qFormat/>
    <w:uiPriority w:val="0"/>
    <w:pPr>
      <w:spacing w:before="100" w:beforeAutospacing="1" w:after="100" w:afterAutospacing="1"/>
    </w:pPr>
    <w:rPr>
      <w:rFonts w:ascii="_GB2312" w:hAnsi="_GB2312"/>
      <w:color w:val="000000"/>
      <w:szCs w:val="21"/>
    </w:rPr>
  </w:style>
  <w:style w:type="paragraph" w:customStyle="1" w:styleId="84">
    <w:name w:val="Char Char Char Char Char Char Char Char Char Char2"/>
    <w:basedOn w:val="1"/>
    <w:qFormat/>
    <w:uiPriority w:val="0"/>
    <w:pPr>
      <w:widowControl w:val="0"/>
      <w:jc w:val="both"/>
    </w:pPr>
    <w:rPr>
      <w:rFonts w:ascii="Tahoma" w:hAnsi="Tahoma"/>
      <w:kern w:val="2"/>
      <w:sz w:val="24"/>
    </w:rPr>
  </w:style>
  <w:style w:type="paragraph" w:customStyle="1" w:styleId="85">
    <w:name w:val="Char2"/>
    <w:basedOn w:val="1"/>
    <w:qFormat/>
    <w:uiPriority w:val="0"/>
    <w:pPr>
      <w:widowControl w:val="0"/>
      <w:jc w:val="both"/>
    </w:pPr>
    <w:rPr>
      <w:rFonts w:ascii="Tahoma" w:hAnsi="Tahoma"/>
      <w:kern w:val="2"/>
      <w:sz w:val="24"/>
    </w:rPr>
  </w:style>
  <w:style w:type="paragraph" w:customStyle="1" w:styleId="86">
    <w:name w:val="xl2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sz w:val="24"/>
      <w:szCs w:val="24"/>
    </w:rPr>
  </w:style>
  <w:style w:type="paragraph" w:customStyle="1" w:styleId="87">
    <w:name w:val="xl3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sz w:val="24"/>
      <w:szCs w:val="24"/>
    </w:rPr>
  </w:style>
  <w:style w:type="paragraph" w:customStyle="1" w:styleId="88">
    <w:name w:val="Char1"/>
    <w:basedOn w:val="1"/>
    <w:qFormat/>
    <w:uiPriority w:val="0"/>
    <w:pPr>
      <w:widowControl w:val="0"/>
      <w:jc w:val="both"/>
    </w:pPr>
    <w:rPr>
      <w:kern w:val="2"/>
    </w:rPr>
  </w:style>
  <w:style w:type="paragraph" w:customStyle="1" w:styleId="89">
    <w:name w:val="样式1"/>
    <w:basedOn w:val="5"/>
    <w:qFormat/>
    <w:uiPriority w:val="0"/>
    <w:pPr>
      <w:tabs>
        <w:tab w:val="left" w:pos="420"/>
      </w:tabs>
      <w:ind w:left="420" w:hanging="420"/>
    </w:pPr>
    <w:rPr>
      <w:rFonts w:cs="Times New Roman"/>
      <w:b/>
    </w:rPr>
  </w:style>
  <w:style w:type="paragraph" w:customStyle="1" w:styleId="90">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c03"/>
    <w:basedOn w:val="1"/>
    <w:qFormat/>
    <w:uiPriority w:val="0"/>
    <w:pPr>
      <w:spacing w:before="100" w:beforeAutospacing="1" w:after="100" w:afterAutospacing="1"/>
    </w:pPr>
    <w:rPr>
      <w:rFonts w:ascii="宋体" w:hAnsi="宋体"/>
      <w:color w:val="000000"/>
      <w:sz w:val="24"/>
      <w:szCs w:val="24"/>
    </w:rPr>
  </w:style>
  <w:style w:type="paragraph" w:customStyle="1" w:styleId="92">
    <w:name w:val="Char Char1 Char Char Char Char Char Char Char Char Char Char1"/>
    <w:basedOn w:val="1"/>
    <w:qFormat/>
    <w:uiPriority w:val="0"/>
    <w:pPr>
      <w:widowControl w:val="0"/>
      <w:jc w:val="both"/>
    </w:pPr>
    <w:rPr>
      <w:rFonts w:ascii="Tahoma" w:hAnsi="Tahoma"/>
      <w:kern w:val="2"/>
      <w:sz w:val="24"/>
    </w:rPr>
  </w:style>
  <w:style w:type="paragraph" w:customStyle="1" w:styleId="93">
    <w:name w:val="Char Char Char Char"/>
    <w:basedOn w:val="1"/>
    <w:qFormat/>
    <w:uiPriority w:val="0"/>
    <w:pPr>
      <w:tabs>
        <w:tab w:val="left" w:pos="965"/>
      </w:tabs>
      <w:spacing w:after="160" w:line="240" w:lineRule="exact"/>
      <w:ind w:left="965" w:hanging="425"/>
    </w:pPr>
    <w:rPr>
      <w:rFonts w:ascii="Verdana" w:hAnsi="Verdana"/>
      <w:lang w:eastAsia="en-US"/>
    </w:rPr>
  </w:style>
  <w:style w:type="paragraph" w:customStyle="1" w:styleId="94">
    <w:name w:val="Char Char Char Char Char Char Char Char Char Char"/>
    <w:basedOn w:val="1"/>
    <w:qFormat/>
    <w:uiPriority w:val="99"/>
    <w:pPr>
      <w:widowControl w:val="0"/>
      <w:jc w:val="both"/>
    </w:pPr>
    <w:rPr>
      <w:rFonts w:ascii="Tahoma" w:hAnsi="Tahoma"/>
      <w:kern w:val="2"/>
      <w:sz w:val="24"/>
    </w:rPr>
  </w:style>
  <w:style w:type="paragraph" w:customStyle="1" w:styleId="95">
    <w:name w:val="xl40"/>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96">
    <w:name w:val="xl31"/>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pPr>
    <w:rPr>
      <w:rFonts w:ascii="宋体" w:hAnsi="宋体" w:cs="宋体"/>
      <w:sz w:val="24"/>
      <w:szCs w:val="24"/>
    </w:rPr>
  </w:style>
  <w:style w:type="paragraph" w:customStyle="1" w:styleId="97">
    <w:name w:val="f12pt1"/>
    <w:basedOn w:val="1"/>
    <w:qFormat/>
    <w:uiPriority w:val="0"/>
    <w:pPr>
      <w:spacing w:before="100" w:beforeAutospacing="1" w:after="100" w:afterAutospacing="1"/>
    </w:pPr>
    <w:rPr>
      <w:rFonts w:ascii="_GB2312" w:hAnsi="_GB2312"/>
      <w:color w:val="000000"/>
      <w:szCs w:val="21"/>
    </w:rPr>
  </w:style>
  <w:style w:type="paragraph" w:customStyle="1" w:styleId="98">
    <w:name w:val="font8"/>
    <w:basedOn w:val="1"/>
    <w:qFormat/>
    <w:uiPriority w:val="0"/>
    <w:pPr>
      <w:spacing w:before="100" w:beforeAutospacing="1" w:after="100" w:afterAutospacing="1"/>
    </w:pPr>
    <w:rPr>
      <w:b/>
      <w:bCs/>
      <w:sz w:val="36"/>
      <w:szCs w:val="36"/>
    </w:rPr>
  </w:style>
  <w:style w:type="paragraph" w:customStyle="1" w:styleId="99">
    <w:name w:val="font6"/>
    <w:basedOn w:val="1"/>
    <w:qFormat/>
    <w:uiPriority w:val="0"/>
    <w:pPr>
      <w:spacing w:before="100" w:beforeAutospacing="1" w:after="100" w:afterAutospacing="1"/>
    </w:pPr>
    <w:rPr>
      <w:sz w:val="24"/>
      <w:szCs w:val="24"/>
    </w:rPr>
  </w:style>
  <w:style w:type="paragraph" w:customStyle="1" w:styleId="100">
    <w:name w:val="xl25"/>
    <w:basedOn w:val="1"/>
    <w:qFormat/>
    <w:uiPriority w:val="0"/>
    <w:pPr>
      <w:spacing w:before="100" w:beforeAutospacing="1" w:after="100" w:afterAutospacing="1"/>
      <w:jc w:val="right"/>
    </w:pPr>
    <w:rPr>
      <w:sz w:val="24"/>
      <w:szCs w:val="24"/>
    </w:rPr>
  </w:style>
  <w:style w:type="paragraph" w:customStyle="1" w:styleId="101">
    <w:name w:val="p0"/>
    <w:basedOn w:val="1"/>
    <w:qFormat/>
    <w:uiPriority w:val="0"/>
    <w:pPr>
      <w:jc w:val="both"/>
    </w:pPr>
    <w:rPr>
      <w:szCs w:val="21"/>
    </w:rPr>
  </w:style>
  <w:style w:type="paragraph" w:customStyle="1" w:styleId="102">
    <w:name w:val="1"/>
    <w:basedOn w:val="1"/>
    <w:next w:val="23"/>
    <w:qFormat/>
    <w:uiPriority w:val="99"/>
    <w:pPr>
      <w:widowControl w:val="0"/>
      <w:jc w:val="both"/>
    </w:pPr>
    <w:rPr>
      <w:rFonts w:ascii="宋体" w:hAnsi="Courier New"/>
      <w:kern w:val="2"/>
    </w:rPr>
  </w:style>
  <w:style w:type="paragraph" w:customStyle="1" w:styleId="103">
    <w:name w:val="xl37"/>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pPr>
    <w:rPr>
      <w:rFonts w:ascii="宋体" w:hAnsi="宋体" w:cs="宋体"/>
      <w:sz w:val="24"/>
      <w:szCs w:val="24"/>
    </w:rPr>
  </w:style>
  <w:style w:type="paragraph" w:customStyle="1" w:styleId="104">
    <w:name w:val="Char11"/>
    <w:basedOn w:val="1"/>
    <w:qFormat/>
    <w:uiPriority w:val="0"/>
    <w:pPr>
      <w:widowControl w:val="0"/>
      <w:jc w:val="both"/>
    </w:pPr>
    <w:rPr>
      <w:rFonts w:ascii="Tahoma" w:hAnsi="Tahoma"/>
      <w:kern w:val="2"/>
      <w:sz w:val="24"/>
    </w:rPr>
  </w:style>
  <w:style w:type="paragraph" w:customStyle="1" w:styleId="105">
    <w:name w:val="图"/>
    <w:basedOn w:val="1"/>
    <w:qFormat/>
    <w:uiPriority w:val="0"/>
    <w:pPr>
      <w:keepNext/>
      <w:widowControl w:val="0"/>
      <w:adjustRightInd w:val="0"/>
      <w:spacing w:before="60" w:after="60" w:line="300" w:lineRule="auto"/>
      <w:jc w:val="center"/>
      <w:textAlignment w:val="center"/>
    </w:pPr>
    <w:rPr>
      <w:snapToGrid w:val="0"/>
      <w:spacing w:val="20"/>
      <w:sz w:val="24"/>
    </w:rPr>
  </w:style>
  <w:style w:type="paragraph" w:customStyle="1" w:styleId="106">
    <w:name w:val="Char"/>
    <w:basedOn w:val="1"/>
    <w:qFormat/>
    <w:uiPriority w:val="0"/>
    <w:pPr>
      <w:spacing w:after="160" w:line="240" w:lineRule="exact"/>
    </w:pPr>
    <w:rPr>
      <w:rFonts w:ascii="Verdana" w:hAnsi="Verdana"/>
      <w:lang w:eastAsia="en-US"/>
    </w:rPr>
  </w:style>
  <w:style w:type="paragraph" w:customStyle="1" w:styleId="107">
    <w:name w:val="xl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108">
    <w:name w:val="Char Char Char Char Char1 Char1"/>
    <w:basedOn w:val="1"/>
    <w:qFormat/>
    <w:uiPriority w:val="0"/>
    <w:pPr>
      <w:widowControl w:val="0"/>
      <w:jc w:val="both"/>
    </w:pPr>
    <w:rPr>
      <w:rFonts w:ascii="Tahoma" w:hAnsi="Tahoma"/>
      <w:kern w:val="2"/>
      <w:sz w:val="24"/>
    </w:rPr>
  </w:style>
  <w:style w:type="paragraph" w:customStyle="1" w:styleId="109">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10">
    <w:name w:val="xl4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sz w:val="36"/>
      <w:szCs w:val="36"/>
    </w:rPr>
  </w:style>
  <w:style w:type="paragraph" w:customStyle="1" w:styleId="111">
    <w:name w:val="f14"/>
    <w:basedOn w:val="1"/>
    <w:qFormat/>
    <w:uiPriority w:val="0"/>
    <w:pPr>
      <w:spacing w:before="100" w:beforeAutospacing="1" w:after="100" w:afterAutospacing="1"/>
    </w:pPr>
    <w:rPr>
      <w:rFonts w:ascii="_GB2312" w:hAnsi="_GB2312"/>
      <w:color w:val="000000"/>
      <w:sz w:val="28"/>
      <w:szCs w:val="28"/>
    </w:rPr>
  </w:style>
  <w:style w:type="paragraph" w:customStyle="1" w:styleId="112">
    <w:name w:val="修订1"/>
    <w:semiHidden/>
    <w:qFormat/>
    <w:uiPriority w:val="99"/>
    <w:rPr>
      <w:rFonts w:ascii="Times New Roman" w:hAnsi="Times New Roman" w:eastAsia="宋体" w:cs="Times New Roman"/>
      <w:sz w:val="21"/>
      <w:lang w:val="en-US" w:eastAsia="zh-CN" w:bidi="ar-SA"/>
    </w:rPr>
  </w:style>
  <w:style w:type="paragraph" w:customStyle="1" w:styleId="113">
    <w:name w:val="Char Char1 Char Char Char Char Char Char Char Char Char Char2"/>
    <w:basedOn w:val="1"/>
    <w:qFormat/>
    <w:uiPriority w:val="0"/>
    <w:pPr>
      <w:widowControl w:val="0"/>
      <w:jc w:val="both"/>
    </w:pPr>
    <w:rPr>
      <w:rFonts w:ascii="Tahoma" w:hAnsi="Tahoma"/>
      <w:kern w:val="2"/>
      <w:sz w:val="24"/>
    </w:rPr>
  </w:style>
  <w:style w:type="paragraph" w:customStyle="1" w:styleId="114">
    <w:name w:val="Char Char Char Char Char Char1 Char Char Char Char"/>
    <w:basedOn w:val="1"/>
    <w:qFormat/>
    <w:uiPriority w:val="0"/>
    <w:pPr>
      <w:tabs>
        <w:tab w:val="left" w:pos="360"/>
      </w:tabs>
      <w:spacing w:after="160" w:line="240" w:lineRule="exact"/>
    </w:pPr>
    <w:rPr>
      <w:kern w:val="2"/>
      <w:sz w:val="24"/>
      <w:szCs w:val="24"/>
    </w:rPr>
  </w:style>
  <w:style w:type="paragraph" w:customStyle="1" w:styleId="115">
    <w:name w:val="Char Char Char Char Char Char Char Char Char Char1"/>
    <w:basedOn w:val="1"/>
    <w:qFormat/>
    <w:uiPriority w:val="0"/>
    <w:pPr>
      <w:widowControl w:val="0"/>
      <w:jc w:val="both"/>
    </w:pPr>
    <w:rPr>
      <w:rFonts w:ascii="Tahoma" w:hAnsi="Tahoma"/>
      <w:kern w:val="2"/>
      <w:sz w:val="24"/>
    </w:rPr>
  </w:style>
  <w:style w:type="paragraph" w:customStyle="1" w:styleId="116">
    <w:name w:val="135"/>
    <w:basedOn w:val="1"/>
    <w:qFormat/>
    <w:uiPriority w:val="0"/>
    <w:pPr>
      <w:spacing w:before="100" w:beforeAutospacing="1" w:after="100" w:afterAutospacing="1" w:line="360" w:lineRule="auto"/>
    </w:pPr>
    <w:rPr>
      <w:rFonts w:ascii="宋体" w:hAnsi="宋体"/>
      <w:color w:val="000000"/>
      <w:sz w:val="24"/>
      <w:szCs w:val="24"/>
    </w:rPr>
  </w:style>
  <w:style w:type="paragraph" w:customStyle="1" w:styleId="117">
    <w:name w:val="Char Char1 Char Char Char Char Char Char Char Char Char Char"/>
    <w:basedOn w:val="1"/>
    <w:qFormat/>
    <w:uiPriority w:val="99"/>
    <w:pPr>
      <w:widowControl w:val="0"/>
      <w:jc w:val="both"/>
    </w:pPr>
    <w:rPr>
      <w:rFonts w:ascii="Tahoma" w:hAnsi="Tahoma"/>
      <w:kern w:val="2"/>
      <w:sz w:val="24"/>
    </w:rPr>
  </w:style>
  <w:style w:type="paragraph" w:customStyle="1" w:styleId="118">
    <w:name w:val="xl34"/>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sz w:val="24"/>
      <w:szCs w:val="24"/>
    </w:rPr>
  </w:style>
  <w:style w:type="paragraph" w:customStyle="1" w:styleId="119">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pPr>
    <w:rPr>
      <w:rFonts w:ascii="宋体" w:hAnsi="宋体" w:cs="宋体"/>
      <w:sz w:val="24"/>
      <w:szCs w:val="24"/>
    </w:rPr>
  </w:style>
  <w:style w:type="paragraph" w:customStyle="1" w:styleId="120">
    <w:name w:val="font0"/>
    <w:basedOn w:val="1"/>
    <w:qFormat/>
    <w:uiPriority w:val="0"/>
    <w:pPr>
      <w:spacing w:before="100" w:beforeAutospacing="1" w:after="100" w:afterAutospacing="1"/>
    </w:pPr>
    <w:rPr>
      <w:rFonts w:ascii="宋体" w:hAnsi="宋体" w:cs="宋体"/>
      <w:sz w:val="24"/>
      <w:szCs w:val="24"/>
    </w:rPr>
  </w:style>
  <w:style w:type="paragraph" w:customStyle="1" w:styleId="121">
    <w:name w:val="Char1 Char1"/>
    <w:basedOn w:val="1"/>
    <w:qFormat/>
    <w:uiPriority w:val="0"/>
    <w:pPr>
      <w:widowControl w:val="0"/>
      <w:ind w:left="425" w:hanging="425"/>
      <w:jc w:val="both"/>
    </w:pPr>
    <w:rPr>
      <w:kern w:val="2"/>
      <w:sz w:val="24"/>
      <w:szCs w:val="24"/>
    </w:rPr>
  </w:style>
  <w:style w:type="paragraph" w:customStyle="1" w:styleId="122">
    <w:name w:val="页脚2"/>
    <w:basedOn w:val="1"/>
    <w:qFormat/>
    <w:uiPriority w:val="0"/>
    <w:pPr>
      <w:pBdr>
        <w:top w:val="single" w:color="auto" w:sz="6" w:space="0"/>
      </w:pBdr>
      <w:jc w:val="right"/>
      <w:textAlignment w:val="center"/>
    </w:pPr>
    <w:rPr>
      <w:rFonts w:ascii="宋体" w:hAnsi="宋体"/>
      <w:sz w:val="18"/>
    </w:rPr>
  </w:style>
  <w:style w:type="paragraph" w:customStyle="1" w:styleId="123">
    <w:name w:val="xl24"/>
    <w:basedOn w:val="1"/>
    <w:qFormat/>
    <w:uiPriority w:val="0"/>
    <w:pPr>
      <w:spacing w:before="100" w:beforeAutospacing="1" w:after="100" w:afterAutospacing="1"/>
      <w:jc w:val="center"/>
    </w:pPr>
    <w:rPr>
      <w:rFonts w:ascii="宋体" w:hAnsi="宋体" w:cs="宋体"/>
      <w:sz w:val="24"/>
      <w:szCs w:val="24"/>
    </w:rPr>
  </w:style>
  <w:style w:type="paragraph" w:customStyle="1" w:styleId="124">
    <w:name w:val="font5"/>
    <w:basedOn w:val="1"/>
    <w:qFormat/>
    <w:uiPriority w:val="0"/>
    <w:pPr>
      <w:spacing w:before="100" w:beforeAutospacing="1" w:after="100" w:afterAutospacing="1"/>
    </w:pPr>
    <w:rPr>
      <w:rFonts w:ascii="宋体" w:hAnsi="宋体" w:cs="宋体"/>
      <w:sz w:val="18"/>
      <w:szCs w:val="18"/>
    </w:rPr>
  </w:style>
  <w:style w:type="paragraph" w:customStyle="1" w:styleId="125">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sz w:val="24"/>
      <w:szCs w:val="24"/>
    </w:rPr>
  </w:style>
  <w:style w:type="paragraph" w:customStyle="1" w:styleId="12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127">
    <w:name w:val="xl46"/>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128">
    <w:name w:val="Char1 Char"/>
    <w:basedOn w:val="1"/>
    <w:qFormat/>
    <w:uiPriority w:val="0"/>
    <w:pPr>
      <w:widowControl w:val="0"/>
      <w:ind w:left="425" w:hanging="425"/>
      <w:jc w:val="both"/>
    </w:pPr>
    <w:rPr>
      <w:kern w:val="2"/>
      <w:sz w:val="24"/>
      <w:szCs w:val="24"/>
    </w:rPr>
  </w:style>
  <w:style w:type="paragraph" w:customStyle="1" w:styleId="129">
    <w:name w:val="f10"/>
    <w:basedOn w:val="1"/>
    <w:qFormat/>
    <w:uiPriority w:val="0"/>
    <w:pPr>
      <w:spacing w:before="100" w:beforeAutospacing="1" w:after="100" w:afterAutospacing="1" w:line="260" w:lineRule="atLeast"/>
    </w:pPr>
    <w:rPr>
      <w:rFonts w:ascii="_GB2312" w:hAnsi="_GB2312"/>
      <w:color w:val="000000"/>
      <w:sz w:val="18"/>
      <w:szCs w:val="18"/>
    </w:rPr>
  </w:style>
  <w:style w:type="paragraph" w:customStyle="1" w:styleId="130">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131">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132">
    <w:name w:val="xl43"/>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133">
    <w:name w:val="xl45"/>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sz w:val="36"/>
      <w:szCs w:val="36"/>
    </w:rPr>
  </w:style>
  <w:style w:type="paragraph" w:customStyle="1" w:styleId="134">
    <w:name w:val="正文缩近"/>
    <w:basedOn w:val="1"/>
    <w:qFormat/>
    <w:uiPriority w:val="0"/>
    <w:pPr>
      <w:widowControl w:val="0"/>
      <w:spacing w:line="360" w:lineRule="auto"/>
      <w:ind w:firstLine="200" w:firstLineChars="200"/>
      <w:jc w:val="both"/>
    </w:pPr>
    <w:rPr>
      <w:kern w:val="2"/>
      <w:sz w:val="24"/>
      <w:szCs w:val="24"/>
    </w:rPr>
  </w:style>
  <w:style w:type="paragraph" w:customStyle="1" w:styleId="135">
    <w:name w:val="Char Char Char1 Char"/>
    <w:basedOn w:val="1"/>
    <w:qFormat/>
    <w:uiPriority w:val="0"/>
    <w:pPr>
      <w:widowControl w:val="0"/>
      <w:jc w:val="both"/>
    </w:pPr>
    <w:rPr>
      <w:rFonts w:ascii="Tahoma" w:hAnsi="Tahoma"/>
      <w:kern w:val="2"/>
      <w:sz w:val="24"/>
    </w:rPr>
  </w:style>
  <w:style w:type="paragraph" w:customStyle="1" w:styleId="136">
    <w:name w:val="Char Char Char Char1"/>
    <w:basedOn w:val="1"/>
    <w:qFormat/>
    <w:uiPriority w:val="0"/>
    <w:pPr>
      <w:tabs>
        <w:tab w:val="left" w:pos="965"/>
      </w:tabs>
      <w:spacing w:after="160" w:line="240" w:lineRule="exact"/>
      <w:ind w:left="965" w:hanging="425"/>
    </w:pPr>
    <w:rPr>
      <w:rFonts w:ascii="Verdana" w:hAnsi="Verdana"/>
      <w:lang w:eastAsia="en-US"/>
    </w:rPr>
  </w:style>
  <w:style w:type="paragraph" w:customStyle="1" w:styleId="137">
    <w:name w:val="xl42"/>
    <w:basedOn w:val="1"/>
    <w:qFormat/>
    <w:uiPriority w:val="0"/>
    <w:pPr>
      <w:spacing w:before="100" w:beforeAutospacing="1" w:after="100" w:afterAutospacing="1"/>
      <w:textAlignment w:val="top"/>
    </w:pPr>
    <w:rPr>
      <w:rFonts w:ascii="宋体" w:hAnsi="宋体" w:cs="宋体"/>
      <w:sz w:val="24"/>
      <w:szCs w:val="24"/>
    </w:rPr>
  </w:style>
  <w:style w:type="paragraph" w:customStyle="1" w:styleId="138">
    <w:name w:val="xl44"/>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13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0">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1">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2">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3">
    <w:name w:val="正文_12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4">
    <w:name w:val="p141_0"/>
    <w:qFormat/>
    <w:uiPriority w:val="0"/>
    <w:rPr>
      <w:rFonts w:ascii="Calibri" w:hAnsi="Calibri"/>
      <w:sz w:val="21"/>
      <w:szCs w:val="21"/>
    </w:rPr>
  </w:style>
  <w:style w:type="paragraph" w:customStyle="1" w:styleId="145">
    <w:name w:val="正文1"/>
    <w:qFormat/>
    <w:uiPriority w:val="0"/>
    <w:pPr>
      <w:widowControl w:val="0"/>
      <w:jc w:val="both"/>
    </w:pPr>
    <w:rPr>
      <w:rFonts w:hint="eastAsia" w:ascii="Calibri" w:hAnsi="Calibri" w:eastAsia="宋体" w:cs="Times New Roman"/>
      <w:kern w:val="2"/>
      <w:sz w:val="21"/>
      <w:lang w:val="en-US" w:eastAsia="zh-CN" w:bidi="ar-SA"/>
    </w:rPr>
  </w:style>
  <w:style w:type="paragraph" w:customStyle="1" w:styleId="14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7">
    <w:name w:val="样式 New"/>
    <w:basedOn w:val="145"/>
    <w:next w:val="146"/>
    <w:qFormat/>
    <w:uiPriority w:val="0"/>
    <w:pPr>
      <w:ind w:left="572" w:right="32" w:firstLine="478"/>
    </w:pPr>
  </w:style>
  <w:style w:type="character" w:customStyle="1" w:styleId="148">
    <w:name w:val="样式2 Char Char"/>
    <w:link w:val="149"/>
    <w:qFormat/>
    <w:uiPriority w:val="0"/>
    <w:rPr>
      <w:rFonts w:ascii="宋体" w:hAnsi="宋体"/>
      <w:kern w:val="2"/>
      <w:sz w:val="28"/>
      <w:szCs w:val="28"/>
    </w:rPr>
  </w:style>
  <w:style w:type="paragraph" w:customStyle="1" w:styleId="149">
    <w:name w:val="样式2"/>
    <w:basedOn w:val="1"/>
    <w:link w:val="148"/>
    <w:qFormat/>
    <w:uiPriority w:val="0"/>
    <w:pPr>
      <w:widowControl w:val="0"/>
      <w:tabs>
        <w:tab w:val="left" w:pos="-720"/>
        <w:tab w:val="left" w:pos="-180"/>
        <w:tab w:val="left" w:pos="2160"/>
        <w:tab w:val="left" w:pos="4800"/>
        <w:tab w:val="left" w:pos="6600"/>
        <w:tab w:val="left" w:pos="7800"/>
      </w:tabs>
      <w:adjustRightInd w:val="0"/>
      <w:snapToGrid w:val="0"/>
      <w:spacing w:line="288" w:lineRule="auto"/>
      <w:ind w:firstLine="599" w:firstLineChars="200"/>
      <w:outlineLvl w:val="8"/>
    </w:pPr>
    <w:rPr>
      <w:rFonts w:ascii="宋体" w:hAnsi="宋体"/>
      <w:kern w:val="2"/>
      <w:sz w:val="28"/>
      <w:szCs w:val="28"/>
    </w:rPr>
  </w:style>
  <w:style w:type="character" w:customStyle="1" w:styleId="150">
    <w:name w:val="font31"/>
    <w:qFormat/>
    <w:uiPriority w:val="0"/>
    <w:rPr>
      <w:rFonts w:hint="eastAsia" w:ascii="宋体" w:hAnsi="宋体" w:eastAsia="宋体" w:cs="宋体"/>
      <w:b/>
      <w:color w:val="000000"/>
      <w:sz w:val="22"/>
      <w:szCs w:val="22"/>
      <w:u w:val="none"/>
    </w:rPr>
  </w:style>
  <w:style w:type="paragraph" w:customStyle="1" w:styleId="151">
    <w:name w:val="无间隔1"/>
    <w:qFormat/>
    <w:uiPriority w:val="1"/>
    <w:pPr>
      <w:widowControl w:val="0"/>
      <w:overflowPunct w:val="0"/>
      <w:autoSpaceDE w:val="0"/>
      <w:autoSpaceDN w:val="0"/>
      <w:adjustRightInd w:val="0"/>
    </w:pPr>
    <w:rPr>
      <w:rFonts w:ascii="宋体" w:hAnsi="宋体" w:eastAsia="宋体" w:cs="Times New Roman"/>
      <w:spacing w:val="-2"/>
      <w:sz w:val="21"/>
      <w:lang w:val="en-US" w:eastAsia="zh-CN" w:bidi="ar-SA"/>
    </w:rPr>
  </w:style>
  <w:style w:type="paragraph" w:customStyle="1" w:styleId="152">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3">
    <w:name w:val="正文_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4">
    <w:name w:val="纯文本_0"/>
    <w:basedOn w:val="146"/>
    <w:qFormat/>
    <w:uiPriority w:val="0"/>
    <w:rPr>
      <w:rFonts w:ascii="宋体" w:hAnsi="Courier New"/>
      <w:szCs w:val="20"/>
      <w:lang w:val="zh-CN"/>
    </w:rPr>
  </w:style>
  <w:style w:type="paragraph" w:customStyle="1" w:styleId="155">
    <w:name w:val="正文_2"/>
    <w:qFormat/>
    <w:uiPriority w:val="0"/>
    <w:rPr>
      <w:rFonts w:ascii="Times New Roman" w:hAnsi="Times New Roman" w:eastAsia="宋体" w:cs="Times New Roman"/>
      <w:sz w:val="21"/>
      <w:lang w:val="en-US" w:eastAsia="zh-CN" w:bidi="ar-SA"/>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修订2"/>
    <w:semiHidden/>
    <w:qFormat/>
    <w:uiPriority w:val="99"/>
    <w:rPr>
      <w:rFonts w:ascii="Times New Roman" w:hAnsi="Times New Roman" w:eastAsia="宋体" w:cs="Times New Roman"/>
      <w:sz w:val="21"/>
      <w:lang w:val="en-US" w:eastAsia="zh-CN" w:bidi="ar-SA"/>
    </w:rPr>
  </w:style>
  <w:style w:type="paragraph" w:customStyle="1" w:styleId="158">
    <w:name w:val="正文_1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9">
    <w:name w:val="正文_2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0">
    <w:name w:val="Normal_12"/>
    <w:qFormat/>
    <w:uiPriority w:val="0"/>
    <w:rPr>
      <w:rFonts w:ascii="Times New Roman" w:hAnsi="Times New Roman" w:eastAsia="宋体" w:cs="Times New Roman"/>
      <w:sz w:val="21"/>
      <w:lang w:val="en-US" w:eastAsia="zh-CN" w:bidi="ar-SA"/>
    </w:rPr>
  </w:style>
  <w:style w:type="paragraph" w:customStyle="1" w:styleId="161">
    <w:name w:val="列出段落2"/>
    <w:basedOn w:val="160"/>
    <w:qFormat/>
    <w:uiPriority w:val="34"/>
    <w:pPr>
      <w:ind w:firstLine="420" w:firstLineChars="200"/>
    </w:pPr>
    <w:rPr>
      <w:rFonts w:ascii="Calibri" w:hAnsi="Calibri"/>
    </w:rPr>
  </w:style>
  <w:style w:type="character" w:customStyle="1" w:styleId="162">
    <w:name w:val="标题 3 字符"/>
    <w:qFormat/>
    <w:uiPriority w:val="0"/>
    <w:rPr>
      <w:rFonts w:ascii="宋体" w:cs="宋体"/>
      <w:sz w:val="21"/>
    </w:rPr>
  </w:style>
  <w:style w:type="character" w:customStyle="1" w:styleId="163">
    <w:name w:val="正文缩进 字符"/>
    <w:qFormat/>
    <w:uiPriority w:val="0"/>
    <w:rPr>
      <w:rFonts w:eastAsia="宋体"/>
      <w:sz w:val="21"/>
      <w:lang w:val="en-US" w:eastAsia="zh-CN" w:bidi="ar-SA"/>
    </w:rPr>
  </w:style>
  <w:style w:type="paragraph" w:styleId="164">
    <w:name w:val="List Paragraph"/>
    <w:basedOn w:val="1"/>
    <w:unhideWhenUsed/>
    <w:qFormat/>
    <w:uiPriority w:val="99"/>
    <w:pPr>
      <w:ind w:firstLine="420" w:firstLineChars="200"/>
    </w:pPr>
  </w:style>
  <w:style w:type="paragraph" w:customStyle="1" w:styleId="165">
    <w:name w:val="正文_0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6">
    <w:name w:val="修订3"/>
    <w:hidden/>
    <w:unhideWhenUsed/>
    <w:qFormat/>
    <w:uiPriority w:val="99"/>
    <w:rPr>
      <w:rFonts w:ascii="Times New Roman" w:hAnsi="Times New Roman" w:eastAsia="宋体" w:cs="Times New Roman"/>
      <w:sz w:val="21"/>
      <w:lang w:val="en-US" w:eastAsia="zh-CN" w:bidi="ar-SA"/>
    </w:rPr>
  </w:style>
  <w:style w:type="paragraph" w:customStyle="1" w:styleId="167">
    <w:name w:val="标题 4_0"/>
    <w:basedOn w:val="152"/>
    <w:next w:val="152"/>
    <w:link w:val="173"/>
    <w:qFormat/>
    <w:uiPriority w:val="0"/>
    <w:pPr>
      <w:keepNext/>
      <w:keepLines/>
      <w:widowControl/>
      <w:spacing w:before="280" w:after="290" w:line="376" w:lineRule="auto"/>
      <w:jc w:val="left"/>
      <w:outlineLvl w:val="3"/>
    </w:pPr>
    <w:rPr>
      <w:rFonts w:ascii="Arial" w:hAnsi="Arial" w:eastAsia="黑体"/>
      <w:b/>
      <w:bCs/>
      <w:kern w:val="0"/>
      <w:sz w:val="28"/>
      <w:szCs w:val="28"/>
    </w:rPr>
  </w:style>
  <w:style w:type="paragraph" w:customStyle="1" w:styleId="168">
    <w:name w:val="正文2"/>
    <w:qFormat/>
    <w:uiPriority w:val="0"/>
    <w:pPr>
      <w:widowControl w:val="0"/>
      <w:jc w:val="both"/>
    </w:pPr>
    <w:rPr>
      <w:rFonts w:hint="eastAsia" w:ascii="Calibri" w:hAnsi="Calibri" w:eastAsia="宋体" w:cs="Times New Roman"/>
      <w:kern w:val="2"/>
      <w:sz w:val="21"/>
      <w:lang w:val="en-US" w:eastAsia="zh-CN" w:bidi="ar-SA"/>
    </w:rPr>
  </w:style>
  <w:style w:type="paragraph" w:customStyle="1" w:styleId="169">
    <w:name w:val="段"/>
    <w:link w:val="170"/>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70">
    <w:name w:val="段 Char"/>
    <w:link w:val="169"/>
    <w:qFormat/>
    <w:uiPriority w:val="0"/>
    <w:rPr>
      <w:rFonts w:ascii="宋体"/>
      <w:sz w:val="21"/>
    </w:rPr>
  </w:style>
  <w:style w:type="paragraph" w:customStyle="1" w:styleId="171">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2">
    <w:name w:val="未处理的提及1"/>
    <w:basedOn w:val="43"/>
    <w:semiHidden/>
    <w:unhideWhenUsed/>
    <w:qFormat/>
    <w:uiPriority w:val="99"/>
    <w:rPr>
      <w:color w:val="605E5C"/>
      <w:shd w:val="clear" w:color="auto" w:fill="E1DFDD"/>
    </w:rPr>
  </w:style>
  <w:style w:type="character" w:customStyle="1" w:styleId="173">
    <w:name w:val="标题 4 Char"/>
    <w:link w:val="167"/>
    <w:qFormat/>
    <w:uiPriority w:val="0"/>
    <w:rPr>
      <w:rFonts w:ascii="Arial" w:hAnsi="Arial" w:eastAsia="黑体"/>
      <w:b/>
      <w:bCs/>
      <w:sz w:val="28"/>
      <w:szCs w:val="28"/>
    </w:rPr>
  </w:style>
  <w:style w:type="character" w:customStyle="1" w:styleId="174">
    <w:name w:val="标题 3 Char Char"/>
    <w:link w:val="175"/>
    <w:qFormat/>
    <w:uiPriority w:val="0"/>
    <w:rPr>
      <w:rFonts w:ascii="宋体"/>
    </w:rPr>
  </w:style>
  <w:style w:type="paragraph" w:customStyle="1" w:styleId="175">
    <w:name w:val="标题 3_0"/>
    <w:basedOn w:val="139"/>
    <w:next w:val="1"/>
    <w:link w:val="174"/>
    <w:qFormat/>
    <w:uiPriority w:val="0"/>
    <w:pPr>
      <w:tabs>
        <w:tab w:val="left" w:pos="851"/>
      </w:tabs>
      <w:autoSpaceDE w:val="0"/>
      <w:autoSpaceDN w:val="0"/>
      <w:adjustRightInd w:val="0"/>
      <w:snapToGrid w:val="0"/>
      <w:spacing w:line="360" w:lineRule="auto"/>
      <w:outlineLvl w:val="2"/>
    </w:pPr>
    <w:rPr>
      <w:rFonts w:ascii="宋体" w:hAnsi="Times New Roman"/>
      <w:kern w:val="0"/>
      <w:sz w:val="20"/>
      <w:szCs w:val="20"/>
    </w:rPr>
  </w:style>
  <w:style w:type="paragraph" w:customStyle="1" w:styleId="176">
    <w:name w:val="table"/>
    <w:basedOn w:val="1"/>
    <w:qFormat/>
    <w:uiPriority w:val="99"/>
    <w:pPr>
      <w:overflowPunct w:val="0"/>
      <w:autoSpaceDE w:val="0"/>
      <w:autoSpaceDN w:val="0"/>
      <w:adjustRightInd w:val="0"/>
      <w:spacing w:before="60" w:after="60"/>
      <w:jc w:val="center"/>
      <w:textAlignment w:val="baseline"/>
    </w:pPr>
    <w:rPr>
      <w:rFonts w:ascii="仿宋体" w:eastAsia="仿宋体"/>
    </w:rPr>
  </w:style>
  <w:style w:type="character" w:customStyle="1" w:styleId="177">
    <w:name w:val="font11"/>
    <w:basedOn w:val="43"/>
    <w:qFormat/>
    <w:uiPriority w:val="0"/>
    <w:rPr>
      <w:rFonts w:hint="eastAsia" w:ascii="微软雅黑" w:hAnsi="微软雅黑" w:eastAsia="微软雅黑" w:cs="微软雅黑"/>
      <w:b/>
      <w:color w:val="FF0000"/>
      <w:sz w:val="24"/>
      <w:szCs w:val="24"/>
      <w:u w:val="none"/>
    </w:rPr>
  </w:style>
  <w:style w:type="paragraph" w:customStyle="1" w:styleId="178">
    <w:name w:val="标题 2_0"/>
    <w:basedOn w:val="140"/>
    <w:next w:val="140"/>
    <w:qFormat/>
    <w:uiPriority w:val="0"/>
    <w:pPr>
      <w:keepNext/>
      <w:keepLines/>
      <w:spacing w:before="260" w:after="260" w:line="415" w:lineRule="auto"/>
      <w:outlineLvl w:val="1"/>
    </w:pPr>
    <w:rPr>
      <w:rFonts w:ascii="Arial" w:hAnsi="Arial" w:eastAsia="黑体"/>
      <w:b/>
      <w:bCs/>
      <w:kern w:val="0"/>
      <w:sz w:val="32"/>
      <w:szCs w:val="32"/>
    </w:rPr>
  </w:style>
  <w:style w:type="paragraph" w:customStyle="1" w:styleId="179">
    <w:name w:val="List Paragraph*"/>
    <w:basedOn w:val="1"/>
    <w:qFormat/>
    <w:uiPriority w:val="0"/>
    <w:pPr>
      <w:widowControl w:val="0"/>
      <w:ind w:firstLine="420"/>
      <w:jc w:val="both"/>
    </w:pPr>
    <w:rPr>
      <w:color w:val="000000"/>
      <w:kern w:val="1"/>
      <w:szCs w:val="24"/>
    </w:rPr>
  </w:style>
  <w:style w:type="paragraph" w:customStyle="1" w:styleId="180">
    <w:name w:val="正文文本缩进1"/>
    <w:qFormat/>
    <w:uiPriority w:val="0"/>
    <w:pPr>
      <w:widowControl w:val="0"/>
      <w:spacing w:line="360" w:lineRule="auto"/>
      <w:ind w:firstLine="546"/>
      <w:jc w:val="both"/>
    </w:pPr>
    <w:rPr>
      <w:rFonts w:ascii="Times New Roman" w:hAnsi="Times New Roman" w:eastAsia="Arial Unicode MS" w:cs="Helvetica Neue"/>
      <w:color w:val="000000"/>
      <w:kern w:val="2"/>
      <w:sz w:val="24"/>
      <w:szCs w:val="24"/>
      <w:u w:color="000000"/>
      <w:lang w:val="en-US" w:eastAsia="zh-CN" w:bidi="ar-SA"/>
    </w:rPr>
  </w:style>
  <w:style w:type="character" w:customStyle="1" w:styleId="181">
    <w:name w:val="日期 Char"/>
    <w:basedOn w:val="43"/>
    <w:link w:val="25"/>
    <w:qFormat/>
    <w:uiPriority w:val="0"/>
    <w:rPr>
      <w:rFonts w:ascii="楷体_GB2312" w:eastAsia="楷体_GB2312"/>
      <w:kern w:val="2"/>
      <w:sz w:val="28"/>
    </w:rPr>
  </w:style>
  <w:style w:type="character" w:customStyle="1" w:styleId="182">
    <w:name w:val="Plain Text Char"/>
    <w:semiHidden/>
    <w:qFormat/>
    <w:uiPriority w:val="99"/>
    <w:rPr>
      <w:rFonts w:ascii="宋体" w:hAnsi="Courier New" w:cs="Courier New"/>
      <w:szCs w:val="21"/>
    </w:rPr>
  </w:style>
  <w:style w:type="character" w:customStyle="1" w:styleId="183">
    <w:name w:val="HTML Preformatted Char"/>
    <w:semiHidden/>
    <w:qFormat/>
    <w:uiPriority w:val="99"/>
    <w:rPr>
      <w:rFonts w:ascii="Courier New" w:hAnsi="Courier New" w:cs="Courier New"/>
      <w:sz w:val="20"/>
      <w:szCs w:val="20"/>
    </w:rPr>
  </w:style>
  <w:style w:type="character" w:customStyle="1" w:styleId="184">
    <w:name w:val="HTML 预设格式 Char"/>
    <w:link w:val="36"/>
    <w:qFormat/>
    <w:locked/>
    <w:uiPriority w:val="99"/>
    <w:rPr>
      <w:rFonts w:ascii="黑体" w:hAnsi="Courier New" w:eastAsia="黑体" w:cs="Courier New"/>
      <w:szCs w:val="21"/>
    </w:rPr>
  </w:style>
  <w:style w:type="character" w:customStyle="1" w:styleId="185">
    <w:name w:val="Footer Char"/>
    <w:semiHidden/>
    <w:qFormat/>
    <w:uiPriority w:val="99"/>
    <w:rPr>
      <w:rFonts w:ascii="Times New Roman" w:hAnsi="Times New Roman"/>
      <w:sz w:val="18"/>
      <w:szCs w:val="18"/>
    </w:rPr>
  </w:style>
  <w:style w:type="character" w:customStyle="1" w:styleId="186">
    <w:name w:val="Header Char"/>
    <w:semiHidden/>
    <w:qFormat/>
    <w:uiPriority w:val="99"/>
    <w:rPr>
      <w:rFonts w:ascii="Times New Roman" w:hAnsi="Times New Roman"/>
      <w:sz w:val="18"/>
      <w:szCs w:val="18"/>
    </w:rPr>
  </w:style>
  <w:style w:type="character" w:customStyle="1" w:styleId="187">
    <w:name w:val="Balloon Text Char"/>
    <w:semiHidden/>
    <w:qFormat/>
    <w:uiPriority w:val="99"/>
    <w:rPr>
      <w:rFonts w:ascii="Times New Roman" w:hAnsi="Times New Roman"/>
      <w:sz w:val="0"/>
      <w:szCs w:val="0"/>
    </w:rPr>
  </w:style>
  <w:style w:type="character" w:customStyle="1" w:styleId="188">
    <w:name w:val="Comment Text Char"/>
    <w:semiHidden/>
    <w:qFormat/>
    <w:uiPriority w:val="99"/>
    <w:rPr>
      <w:rFonts w:ascii="Times New Roman" w:hAnsi="Times New Roman"/>
      <w:szCs w:val="21"/>
    </w:rPr>
  </w:style>
  <w:style w:type="character" w:customStyle="1" w:styleId="189">
    <w:name w:val="Comment Subject Char"/>
    <w:semiHidden/>
    <w:qFormat/>
    <w:uiPriority w:val="99"/>
    <w:rPr>
      <w:rFonts w:ascii="Times New Roman" w:hAnsi="Times New Roman" w:cs="Times New Roman"/>
      <w:b/>
      <w:bCs/>
      <w:kern w:val="2"/>
      <w:sz w:val="24"/>
      <w:szCs w:val="21"/>
    </w:rPr>
  </w:style>
  <w:style w:type="paragraph" w:customStyle="1" w:styleId="190">
    <w:name w:val="Char Char Char Char Char Char Char Char1 Char Char Char Char Char Char Char Char Char Char Char Char Char Char Char Char"/>
    <w:basedOn w:val="1"/>
    <w:qFormat/>
    <w:uiPriority w:val="99"/>
    <w:pPr>
      <w:spacing w:after="160" w:line="240" w:lineRule="exact"/>
    </w:pPr>
    <w:rPr>
      <w:rFonts w:ascii="Verdana" w:hAnsi="Verdana" w:cs="Verdana"/>
      <w:sz w:val="20"/>
      <w:lang w:eastAsia="en-US"/>
    </w:rPr>
  </w:style>
  <w:style w:type="character" w:customStyle="1" w:styleId="191">
    <w:name w:val="font41"/>
    <w:basedOn w:val="43"/>
    <w:qFormat/>
    <w:uiPriority w:val="0"/>
    <w:rPr>
      <w:rFonts w:hint="eastAsia" w:ascii="宋体" w:hAnsi="宋体" w:eastAsia="宋体" w:cs="宋体"/>
      <w:color w:val="000000"/>
      <w:sz w:val="18"/>
      <w:szCs w:val="18"/>
      <w:u w:val="none"/>
    </w:rPr>
  </w:style>
  <w:style w:type="paragraph" w:customStyle="1" w:styleId="192">
    <w:name w:val="List Paragraph1"/>
    <w:basedOn w:val="1"/>
    <w:qFormat/>
    <w:uiPriority w:val="0"/>
    <w:pPr>
      <w:adjustRightInd w:val="0"/>
      <w:snapToGrid w:val="0"/>
      <w:spacing w:before="100" w:beforeAutospacing="1" w:after="200"/>
      <w:ind w:firstLine="420" w:firstLineChars="200"/>
    </w:pPr>
    <w:rPr>
      <w:sz w:val="22"/>
      <w:szCs w:val="22"/>
    </w:rPr>
  </w:style>
  <w:style w:type="paragraph" w:customStyle="1" w:styleId="193">
    <w:name w:val="列表段落1"/>
    <w:basedOn w:val="1"/>
    <w:qFormat/>
    <w:uiPriority w:val="0"/>
    <w:pPr>
      <w:spacing w:before="100" w:beforeAutospacing="1"/>
      <w:ind w:firstLine="420" w:firstLineChars="200"/>
    </w:pPr>
    <w:rPr>
      <w:rFonts w:ascii="Calibri" w:hAnsi="Calibri"/>
      <w:sz w:val="22"/>
      <w:szCs w:val="22"/>
    </w:rPr>
  </w:style>
  <w:style w:type="paragraph" w:customStyle="1" w:styleId="194">
    <w:name w:val="题注4"/>
    <w:basedOn w:val="1"/>
    <w:next w:val="15"/>
    <w:qFormat/>
    <w:uiPriority w:val="0"/>
    <w:pPr>
      <w:widowControl w:val="0"/>
      <w:ind w:left="-46" w:leftChars="-22" w:right="-108"/>
      <w:jc w:val="center"/>
    </w:pPr>
    <w:rPr>
      <w:b/>
      <w:bCs/>
      <w:color w:val="000000"/>
      <w:kern w:val="2"/>
      <w:sz w:val="18"/>
      <w:szCs w:val="18"/>
      <w:lang w:val="en-GB"/>
    </w:rPr>
  </w:style>
  <w:style w:type="paragraph" w:customStyle="1" w:styleId="195">
    <w:name w:val="修订4"/>
    <w:hidden/>
    <w:semiHidden/>
    <w:qFormat/>
    <w:uiPriority w:val="99"/>
    <w:rPr>
      <w:rFonts w:ascii="Times New Roman" w:hAnsi="Times New Roman" w:eastAsia="宋体" w:cs="Times New Roman"/>
      <w:sz w:val="21"/>
      <w:lang w:val="en-US" w:eastAsia="zh-CN" w:bidi="ar-SA"/>
    </w:rPr>
  </w:style>
  <w:style w:type="paragraph" w:customStyle="1" w:styleId="196">
    <w:name w:val="修订5"/>
    <w:hidden/>
    <w:semiHidden/>
    <w:qFormat/>
    <w:uiPriority w:val="99"/>
    <w:rPr>
      <w:rFonts w:ascii="Times New Roman" w:hAnsi="Times New Roman" w:eastAsia="宋体" w:cs="Times New Roman"/>
      <w:sz w:val="21"/>
      <w:lang w:val="en-US" w:eastAsia="zh-CN" w:bidi="ar-SA"/>
    </w:rPr>
  </w:style>
  <w:style w:type="paragraph" w:customStyle="1" w:styleId="197">
    <w:name w:val="修订6"/>
    <w:hidden/>
    <w:semiHidden/>
    <w:qFormat/>
    <w:uiPriority w:val="99"/>
    <w:rPr>
      <w:rFonts w:ascii="Times New Roman" w:hAnsi="Times New Roman" w:eastAsia="宋体" w:cs="Times New Roman"/>
      <w:sz w:val="21"/>
      <w:lang w:val="en-US" w:eastAsia="zh-CN" w:bidi="ar-SA"/>
    </w:rPr>
  </w:style>
  <w:style w:type="paragraph" w:customStyle="1" w:styleId="198">
    <w:name w:val="修订7"/>
    <w:hidden/>
    <w:semiHidden/>
    <w:qFormat/>
    <w:uiPriority w:val="99"/>
    <w:rPr>
      <w:rFonts w:ascii="Times New Roman" w:hAnsi="Times New Roman" w:eastAsia="宋体" w:cs="Times New Roman"/>
      <w:sz w:val="21"/>
      <w:lang w:val="en-US" w:eastAsia="zh-CN" w:bidi="ar-SA"/>
    </w:rPr>
  </w:style>
  <w:style w:type="paragraph" w:customStyle="1" w:styleId="199">
    <w:name w:val="Normal_27"/>
    <w:qFormat/>
    <w:uiPriority w:val="0"/>
    <w:rPr>
      <w:rFonts w:ascii="Times New Roman" w:hAnsi="Times New Roman" w:eastAsia="Times New Roman" w:cs="Times New Roman"/>
      <w:sz w:val="24"/>
      <w:szCs w:val="24"/>
      <w:lang w:val="en-US" w:eastAsia="zh-CN" w:bidi="ar-SA"/>
    </w:rPr>
  </w:style>
  <w:style w:type="character" w:customStyle="1" w:styleId="200">
    <w:name w:val="NormalCharacter"/>
    <w:qFormat/>
    <w:uiPriority w:val="0"/>
  </w:style>
  <w:style w:type="paragraph" w:customStyle="1" w:styleId="201">
    <w:name w:val="179"/>
    <w:basedOn w:val="1"/>
    <w:qFormat/>
    <w:uiPriority w:val="0"/>
    <w:pPr>
      <w:ind w:firstLine="420" w:firstLineChars="200"/>
      <w:textAlignment w:val="baseline"/>
    </w:pPr>
    <w:rPr>
      <w:rFonts w:ascii="Calibri" w:hAnsi="Calibri"/>
      <w:szCs w:val="22"/>
    </w:rPr>
  </w:style>
  <w:style w:type="paragraph" w:customStyle="1" w:styleId="202">
    <w:name w:val="表格文字"/>
    <w:basedOn w:val="1"/>
    <w:next w:val="1"/>
    <w:qFormat/>
    <w:uiPriority w:val="0"/>
    <w:pPr>
      <w:snapToGrid w:val="0"/>
      <w:spacing w:line="360" w:lineRule="atLeast"/>
      <w:jc w:val="center"/>
    </w:pPr>
    <w:rPr>
      <w:rFonts w:ascii="宋体" w:eastAsia="幼圆"/>
    </w:rPr>
  </w:style>
  <w:style w:type="character" w:customStyle="1" w:styleId="203">
    <w:name w:val="font01"/>
    <w:basedOn w:val="43"/>
    <w:qFormat/>
    <w:uiPriority w:val="0"/>
    <w:rPr>
      <w:rFonts w:hint="eastAsia" w:ascii="宋体" w:hAnsi="宋体" w:eastAsia="宋体" w:cs="宋体"/>
      <w:color w:val="000000"/>
      <w:sz w:val="22"/>
      <w:szCs w:val="22"/>
      <w:u w:val="none"/>
    </w:rPr>
  </w:style>
  <w:style w:type="paragraph" w:customStyle="1" w:styleId="204">
    <w:name w:val="正文非缩进"/>
    <w:basedOn w:val="1"/>
    <w:next w:val="23"/>
    <w:qFormat/>
    <w:uiPriority w:val="0"/>
    <w:rPr>
      <w:rFonts w:ascii="宋体" w:hAnsi="Courier New" w:cs="宋体"/>
      <w:szCs w:val="21"/>
    </w:rPr>
  </w:style>
  <w:style w:type="paragraph" w:customStyle="1" w:styleId="205">
    <w:name w:val="合同1.2标题"/>
    <w:basedOn w:val="206"/>
    <w:qFormat/>
    <w:uiPriority w:val="0"/>
    <w:pPr>
      <w:numPr>
        <w:ilvl w:val="1"/>
      </w:numPr>
    </w:pPr>
    <w:rPr>
      <w:rFonts w:eastAsia="仿宋_GB2312"/>
      <w:b w:val="0"/>
    </w:rPr>
  </w:style>
  <w:style w:type="paragraph" w:customStyle="1" w:styleId="206">
    <w:name w:val="合同 1.标题"/>
    <w:basedOn w:val="207"/>
    <w:qFormat/>
    <w:uiPriority w:val="0"/>
    <w:pPr>
      <w:numPr>
        <w:numId w:val="1"/>
      </w:numPr>
      <w:spacing w:line="360" w:lineRule="auto"/>
    </w:pPr>
  </w:style>
  <w:style w:type="paragraph" w:customStyle="1" w:styleId="207">
    <w:name w:val="1.第一级"/>
    <w:basedOn w:val="1"/>
    <w:qFormat/>
    <w:uiPriority w:val="0"/>
    <w:pPr>
      <w:numPr>
        <w:ilvl w:val="0"/>
        <w:numId w:val="2"/>
      </w:numPr>
      <w:spacing w:line="480" w:lineRule="auto"/>
    </w:pPr>
    <w:rPr>
      <w:rFonts w:ascii="仿宋_GB2312" w:eastAsia="黑体"/>
      <w:b/>
      <w:sz w:val="24"/>
    </w:rPr>
  </w:style>
  <w:style w:type="paragraph" w:customStyle="1" w:styleId="208">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character" w:customStyle="1" w:styleId="209">
    <w:name w:val="weby11"/>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0424FD-99C7-4667-AAF5-49ED15E5D56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Pages>
  <Words>19846</Words>
  <Characters>20564</Characters>
  <Lines>475</Lines>
  <Paragraphs>133</Paragraphs>
  <TotalTime>0</TotalTime>
  <ScaleCrop>false</ScaleCrop>
  <LinksUpToDate>false</LinksUpToDate>
  <CharactersWithSpaces>20776</CharactersWithSpaces>
  <Application>WPS Office_12.1.0.19768_F1E327BC-269C-435d-A152-05C5408002CA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2024-05-10T08:34:00Z</dcterms:created>
  <dc:creator>zhuxiaorui</dc:creator>
  <cp:lastModifiedBy>S</cp:lastModifiedBy>
  <cp:lastPrinted>2024-09-04T08:17:00Z</cp:lastPrinted>
  <dcterms:modified xsi:type="dcterms:W3CDTF">2025-06-20T10:19:37Z</dcterms:modified>
  <dc:title>网址：www</dc:title>
  <cp:revision>331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2052-12.1.0.19768</vt:lpwstr>
  </property>
  <property fmtid="{D5CDD505-2E9C-101B-9397-08002B2CF9AE}" pid="3" name="ICV">
    <vt:lpwstr>232674F2C02F4BA1A797B167E26C1459_13</vt:lpwstr>
  </property>
  <property fmtid="{D5CDD505-2E9C-101B-9397-08002B2CF9AE}" pid="4" name="KSOTemplateDocerSaveRecord">
    <vt:lpwstr>eyJoZGlkIjoiNmNjZTM1MDFjMzExNDU2NzczODQ3N2YzYWY2MmYxMWEiLCJ1c2VySWQiOiIyMzI5NTgxNTgifQ==</vt:lpwstr>
  </property>
</Properties>
</file>